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04E77" w14:textId="77777777" w:rsidR="00DB2F3A" w:rsidRDefault="00DB2F3A" w:rsidP="00DB2F3A">
      <w:pPr>
        <w:pStyle w:val="IngetavstndLST"/>
        <w:rPr>
          <w:b/>
          <w:sz w:val="28"/>
          <w:szCs w:val="28"/>
        </w:rPr>
      </w:pPr>
      <w:bookmarkStart w:id="0" w:name="_GoBack"/>
      <w:bookmarkEnd w:id="0"/>
    </w:p>
    <w:p w14:paraId="5E5F2417" w14:textId="77777777" w:rsidR="00DB2F3A" w:rsidRDefault="00DB2F3A" w:rsidP="00DB2F3A">
      <w:pPr>
        <w:pStyle w:val="IngetavstndLST"/>
        <w:rPr>
          <w:b/>
          <w:sz w:val="28"/>
          <w:szCs w:val="28"/>
        </w:rPr>
      </w:pPr>
    </w:p>
    <w:p w14:paraId="02F876AD" w14:textId="77777777" w:rsidR="00DB2F3A" w:rsidRDefault="00DB2F3A" w:rsidP="00DB2F3A">
      <w:pPr>
        <w:pStyle w:val="IngetavstndLST"/>
        <w:rPr>
          <w:b/>
          <w:sz w:val="28"/>
          <w:szCs w:val="28"/>
        </w:rPr>
      </w:pPr>
      <w:r>
        <w:rPr>
          <w:b/>
          <w:sz w:val="28"/>
          <w:szCs w:val="28"/>
        </w:rPr>
        <w:t xml:space="preserve">Dispens för körning på barmark under prospekterings- och undersökningsarbeten, </w:t>
      </w:r>
      <w:r w:rsidRPr="00E82BE4">
        <w:rPr>
          <w:b/>
          <w:sz w:val="28"/>
          <w:szCs w:val="28"/>
          <w:highlight w:val="yellow"/>
        </w:rPr>
        <w:t>XX</w:t>
      </w:r>
      <w:r>
        <w:rPr>
          <w:b/>
          <w:sz w:val="28"/>
          <w:szCs w:val="28"/>
        </w:rPr>
        <w:t xml:space="preserve"> kommun</w:t>
      </w:r>
    </w:p>
    <w:p w14:paraId="10ED890B" w14:textId="77777777" w:rsidR="00DB2F3A" w:rsidRDefault="00DB2F3A" w:rsidP="00DB2F3A">
      <w:pPr>
        <w:pStyle w:val="IngetavstndLST"/>
      </w:pPr>
    </w:p>
    <w:p w14:paraId="03AF1556" w14:textId="77777777" w:rsidR="00DB2F3A" w:rsidRDefault="00DB2F3A" w:rsidP="00DB2F3A">
      <w:pPr>
        <w:pStyle w:val="IngetavstndLST"/>
        <w:rPr>
          <w:b/>
        </w:rPr>
      </w:pPr>
      <w:r>
        <w:rPr>
          <w:b/>
        </w:rPr>
        <w:t>Beslut</w:t>
      </w:r>
    </w:p>
    <w:p w14:paraId="6ED24068" w14:textId="77777777" w:rsidR="00DB2F3A" w:rsidRDefault="00DB2F3A" w:rsidP="00DB2F3A">
      <w:pPr>
        <w:pStyle w:val="IngetavstndLST"/>
      </w:pPr>
      <w:r>
        <w:t>Länsstyrelsen medger er dispens för körning på barmark i samband med prospektering och undersökningsarbeten.</w:t>
      </w:r>
    </w:p>
    <w:p w14:paraId="12FDD084" w14:textId="77777777" w:rsidR="00DB2F3A" w:rsidRDefault="00DB2F3A" w:rsidP="00DB2F3A">
      <w:pPr>
        <w:pStyle w:val="IngetavstndLST"/>
      </w:pPr>
    </w:p>
    <w:p w14:paraId="2E351FD0" w14:textId="42EA3829" w:rsidR="00DB2F3A" w:rsidRDefault="00DB2F3A" w:rsidP="00DB2F3A">
      <w:pPr>
        <w:pStyle w:val="IngetavstndLST"/>
      </w:pPr>
      <w:r>
        <w:t xml:space="preserve">Dispensen gäller </w:t>
      </w:r>
      <w:r>
        <w:rPr>
          <w:highlight w:val="yellow"/>
        </w:rPr>
        <w:t>Bolag</w:t>
      </w:r>
      <w:r w:rsidRPr="00D15B1A">
        <w:rPr>
          <w:highlight w:val="yellow"/>
        </w:rPr>
        <w:t xml:space="preserve"> AB</w:t>
      </w:r>
      <w:r>
        <w:t xml:space="preserve">, samt av bolaget anlitade entreprenörer enligt inkommen ansökan och kompletteringar. </w:t>
      </w:r>
    </w:p>
    <w:p w14:paraId="47122975" w14:textId="77777777" w:rsidR="00DB2F3A" w:rsidRDefault="00DB2F3A" w:rsidP="00DB2F3A">
      <w:pPr>
        <w:pStyle w:val="IngetavstndLST"/>
        <w:jc w:val="both"/>
      </w:pPr>
    </w:p>
    <w:p w14:paraId="1ECD3E81" w14:textId="77777777" w:rsidR="00DB2F3A" w:rsidRDefault="00DB2F3A" w:rsidP="00DB2F3A">
      <w:pPr>
        <w:pStyle w:val="IngetavstndLST"/>
        <w:jc w:val="both"/>
      </w:pPr>
      <w:r>
        <w:t xml:space="preserve">Detta beslut gäller från och med den </w:t>
      </w:r>
      <w:r w:rsidRPr="00DB2F3A">
        <w:rPr>
          <w:b/>
          <w:highlight w:val="yellow"/>
        </w:rPr>
        <w:t>3 juli 2014</w:t>
      </w:r>
      <w:r>
        <w:t xml:space="preserve"> till och med den </w:t>
      </w:r>
      <w:r w:rsidRPr="00DB2F3A">
        <w:rPr>
          <w:b/>
          <w:highlight w:val="yellow"/>
        </w:rPr>
        <w:t>31 december 2015</w:t>
      </w:r>
      <w:r w:rsidRPr="00C26A97">
        <w:rPr>
          <w:b/>
        </w:rPr>
        <w:t>.</w:t>
      </w:r>
    </w:p>
    <w:p w14:paraId="42E39BE7" w14:textId="77777777" w:rsidR="00DB2F3A" w:rsidRDefault="00DB2F3A" w:rsidP="00DB2F3A">
      <w:pPr>
        <w:pStyle w:val="IngetavstndLST"/>
      </w:pPr>
    </w:p>
    <w:p w14:paraId="30E0B9DF" w14:textId="77777777" w:rsidR="00DB2F3A" w:rsidRDefault="00DB2F3A" w:rsidP="00DB2F3A">
      <w:pPr>
        <w:pStyle w:val="IngetavstndLST"/>
      </w:pPr>
      <w:r>
        <w:t xml:space="preserve">Dispensen gäller inte för körning på våtmark, i vattendrag </w:t>
      </w:r>
      <w:r w:rsidRPr="00D80D5B">
        <w:rPr>
          <w:highlight w:val="yellow"/>
        </w:rPr>
        <w:t>eller</w:t>
      </w:r>
      <w:r>
        <w:t xml:space="preserve"> </w:t>
      </w:r>
      <w:r w:rsidRPr="00D80D5B">
        <w:rPr>
          <w:highlight w:val="yellow"/>
        </w:rPr>
        <w:t>områd</w:t>
      </w:r>
      <w:r>
        <w:rPr>
          <w:highlight w:val="yellow"/>
        </w:rPr>
        <w:t xml:space="preserve">en markerade med rött i bilaga </w:t>
      </w:r>
      <w:r w:rsidRPr="00D80D5B">
        <w:rPr>
          <w:highlight w:val="yellow"/>
        </w:rPr>
        <w:t>X</w:t>
      </w:r>
      <w:r>
        <w:t>.</w:t>
      </w:r>
    </w:p>
    <w:p w14:paraId="38476865" w14:textId="77777777" w:rsidR="00DB2F3A" w:rsidRDefault="00DB2F3A" w:rsidP="00DB2F3A">
      <w:pPr>
        <w:pStyle w:val="IngetavstndLST"/>
      </w:pPr>
    </w:p>
    <w:p w14:paraId="267CB001" w14:textId="77777777" w:rsidR="00DB2F3A" w:rsidRDefault="00DB2F3A" w:rsidP="00DB2F3A">
      <w:pPr>
        <w:pStyle w:val="IngetavstndLST"/>
      </w:pPr>
      <w:r>
        <w:t>För dispensen gäller följande:</w:t>
      </w:r>
    </w:p>
    <w:p w14:paraId="1878CA84" w14:textId="77777777" w:rsidR="00DB2F3A" w:rsidRDefault="00DB2F3A" w:rsidP="00DB2F3A">
      <w:pPr>
        <w:pStyle w:val="IngetavstndLST"/>
        <w:numPr>
          <w:ilvl w:val="0"/>
          <w:numId w:val="1"/>
        </w:numPr>
      </w:pPr>
      <w:r>
        <w:t xml:space="preserve">Dispensen gäller de områden/färdvägar som redovisas i bilaga </w:t>
      </w:r>
      <w:r w:rsidRPr="00D80D5B">
        <w:rPr>
          <w:highlight w:val="yellow"/>
        </w:rPr>
        <w:t>X</w:t>
      </w:r>
      <w:r>
        <w:t>.</w:t>
      </w:r>
    </w:p>
    <w:p w14:paraId="6CFDED9C" w14:textId="77777777" w:rsidR="00DB2F3A" w:rsidRDefault="00DB2F3A" w:rsidP="00DB2F3A">
      <w:pPr>
        <w:pStyle w:val="IngetavstndLST"/>
        <w:numPr>
          <w:ilvl w:val="0"/>
          <w:numId w:val="1"/>
        </w:numPr>
      </w:pPr>
      <w:r>
        <w:t>Vid körning på fuktig mark där risk för att körskada uppkommer ska skyddsåtgärder vidtas till exempel risning eller geonät.</w:t>
      </w:r>
    </w:p>
    <w:p w14:paraId="64917AB2" w14:textId="77777777" w:rsidR="00DB2F3A" w:rsidRDefault="00DB2F3A" w:rsidP="00DB2F3A">
      <w:pPr>
        <w:pStyle w:val="IngetavstndLST"/>
        <w:numPr>
          <w:ilvl w:val="0"/>
          <w:numId w:val="1"/>
        </w:numPr>
      </w:pPr>
      <w:r>
        <w:t>Om markskador uppkommer ska dessa återställas.</w:t>
      </w:r>
    </w:p>
    <w:p w14:paraId="3C1CF6C6" w14:textId="77777777" w:rsidR="00DB2F3A" w:rsidRDefault="00DB2F3A" w:rsidP="00DB2F3A">
      <w:pPr>
        <w:pStyle w:val="IngetavstndLST"/>
        <w:numPr>
          <w:ilvl w:val="0"/>
          <w:numId w:val="1"/>
        </w:numPr>
      </w:pPr>
      <w:r>
        <w:t xml:space="preserve">Vid passager över vattendrag ska befintliga eller tillfälliga broar användas. Tillfälliga broar ska avlägsnas. </w:t>
      </w:r>
    </w:p>
    <w:p w14:paraId="3E33EA4A" w14:textId="77777777" w:rsidR="00DB2F3A" w:rsidRDefault="00DB2F3A" w:rsidP="00DB2F3A">
      <w:pPr>
        <w:pStyle w:val="IngetavstndLST"/>
        <w:numPr>
          <w:ilvl w:val="0"/>
          <w:numId w:val="1"/>
        </w:numPr>
      </w:pPr>
      <w:r>
        <w:t>Befintliga färdstråk, skogsvägar och tidigare traktorspår ska användas i så stor utsträckning som möjligt.</w:t>
      </w:r>
    </w:p>
    <w:p w14:paraId="68AFE2FC" w14:textId="77777777" w:rsidR="00DB2F3A" w:rsidRDefault="00DB2F3A" w:rsidP="00DB2F3A">
      <w:pPr>
        <w:pStyle w:val="IngetavstndLST"/>
        <w:numPr>
          <w:ilvl w:val="0"/>
          <w:numId w:val="1"/>
        </w:numPr>
      </w:pPr>
      <w:r>
        <w:t>Denna dispens ska medföras vid färd och på begäran kunna uppvisas för polis eller bevakningspersonal.</w:t>
      </w:r>
    </w:p>
    <w:p w14:paraId="3EA3D00A" w14:textId="77777777" w:rsidR="00DB2F3A" w:rsidRDefault="00DB2F3A" w:rsidP="00DB2F3A">
      <w:pPr>
        <w:pStyle w:val="IngetavstndLST"/>
        <w:jc w:val="both"/>
        <w:rPr>
          <w:b/>
        </w:rPr>
      </w:pPr>
    </w:p>
    <w:p w14:paraId="2D70D817" w14:textId="77777777" w:rsidR="00DB2F3A" w:rsidRDefault="00DB2F3A" w:rsidP="00DB2F3A">
      <w:pPr>
        <w:pStyle w:val="IngetavstndLST"/>
        <w:jc w:val="both"/>
        <w:rPr>
          <w:b/>
        </w:rPr>
      </w:pPr>
      <w:r>
        <w:rPr>
          <w:b/>
        </w:rPr>
        <w:t>Redogörelse för ärendet</w:t>
      </w:r>
    </w:p>
    <w:p w14:paraId="5D1EB6A2" w14:textId="77777777" w:rsidR="00DB2F3A" w:rsidRDefault="00DB2F3A" w:rsidP="00DB2F3A">
      <w:pPr>
        <w:pStyle w:val="IngetavstndLST"/>
        <w:jc w:val="both"/>
      </w:pPr>
      <w:r>
        <w:rPr>
          <w:highlight w:val="yellow"/>
        </w:rPr>
        <w:t xml:space="preserve">Bolag </w:t>
      </w:r>
      <w:r w:rsidRPr="00E92FB5">
        <w:rPr>
          <w:highlight w:val="yellow"/>
        </w:rPr>
        <w:t>AB</w:t>
      </w:r>
      <w:r>
        <w:t xml:space="preserve"> har den </w:t>
      </w:r>
      <w:r w:rsidRPr="00E92FB5">
        <w:rPr>
          <w:highlight w:val="yellow"/>
        </w:rPr>
        <w:t>9 juni 2014</w:t>
      </w:r>
      <w:r>
        <w:t xml:space="preserve"> inkommit med ansökan om dispens från terrängkörningslagen för att i samband med prospekterings- och undersökningsarbete köra med motordrivet fordon i terräng på barmark. Området som ansökan avser ligger omkring </w:t>
      </w:r>
      <w:r>
        <w:rPr>
          <w:highlight w:val="yellow"/>
        </w:rPr>
        <w:t>plats</w:t>
      </w:r>
      <w:r w:rsidRPr="00E92FB5">
        <w:rPr>
          <w:highlight w:val="yellow"/>
        </w:rPr>
        <w:t xml:space="preserve">, </w:t>
      </w:r>
      <w:r w:rsidRPr="00DB2F3A">
        <w:rPr>
          <w:highlight w:val="yellow"/>
        </w:rPr>
        <w:t>i namn</w:t>
      </w:r>
      <w:r>
        <w:t xml:space="preserve"> kommun. </w:t>
      </w:r>
    </w:p>
    <w:p w14:paraId="7E513B3E" w14:textId="77777777" w:rsidR="00DB2F3A" w:rsidRDefault="00DB2F3A" w:rsidP="00DB2F3A">
      <w:pPr>
        <w:pStyle w:val="IngetavstndLST"/>
        <w:jc w:val="both"/>
      </w:pPr>
    </w:p>
    <w:p w14:paraId="0D5AA3ED" w14:textId="77777777" w:rsidR="00DB2F3A" w:rsidRDefault="00DB2F3A" w:rsidP="00DB2F3A">
      <w:pPr>
        <w:pStyle w:val="IngetavstndLST"/>
        <w:jc w:val="both"/>
      </w:pPr>
      <w:r w:rsidRPr="00DB2F3A">
        <w:rPr>
          <w:highlight w:val="yellow"/>
        </w:rPr>
        <w:t>Bolag  AB uppger i ansökan och i inkomna kompletteringar att all körning i terräng kring område i första hand ska ske på redan använda vägar och borrvägar (som tidigare prospekteringsföretag använt). För att undvika skador på marken i områden som är mindre torra kommer finmaskiga geonät att läggas ut. Trafiken genom kulturminnesområdet kommer enbart att ske på befintlig skogsbilväg, vilken förevisats av Länsstyrelsens kulturmiljöenhet. De entreprenörer som anlitas av sökanden använder en borrigg och ett bandfordon med breda band av gummi som är skonsam mot vegetationen. Dagliga transporter av material, bränsle och borrkärnor sker med fyrhjuling med släpvagn.</w:t>
      </w:r>
    </w:p>
    <w:p w14:paraId="694F6BE0" w14:textId="5DE1B097" w:rsidR="00DB2F3A" w:rsidRDefault="00DB2F3A" w:rsidP="00DB2F3A">
      <w:pPr>
        <w:pStyle w:val="IngetavstndLST"/>
        <w:jc w:val="both"/>
      </w:pPr>
    </w:p>
    <w:p w14:paraId="36407975" w14:textId="77777777" w:rsidR="00EE6C3E" w:rsidRDefault="00EE6C3E" w:rsidP="00DB2F3A">
      <w:pPr>
        <w:pStyle w:val="IngetavstndLST"/>
        <w:jc w:val="both"/>
      </w:pPr>
    </w:p>
    <w:p w14:paraId="26EA53BB" w14:textId="77777777" w:rsidR="00DB2F3A" w:rsidRDefault="00DB2F3A" w:rsidP="00DB2F3A">
      <w:pPr>
        <w:pStyle w:val="IngetavstndLST"/>
        <w:jc w:val="both"/>
        <w:rPr>
          <w:b/>
        </w:rPr>
      </w:pPr>
      <w:r>
        <w:rPr>
          <w:b/>
        </w:rPr>
        <w:t>Motivering</w:t>
      </w:r>
    </w:p>
    <w:p w14:paraId="069B013B" w14:textId="77777777" w:rsidR="00DB2F3A" w:rsidRDefault="00DB2F3A" w:rsidP="00DB2F3A">
      <w:pPr>
        <w:pStyle w:val="IngetavstndLST"/>
        <w:jc w:val="both"/>
      </w:pPr>
      <w:r>
        <w:lastRenderedPageBreak/>
        <w:t xml:space="preserve">Länsstyrelsen får med stöd av 12 § terrängkörningsförordningen meddela undantag från förbudet om det finns särskilda skäl. </w:t>
      </w:r>
      <w:r w:rsidRPr="00B57F70">
        <w:rPr>
          <w:highlight w:val="yellow"/>
        </w:rPr>
        <w:t>Bolaget har framfört att prospekteringen måste ske under barmarkssäsong</w:t>
      </w:r>
      <w:r>
        <w:rPr>
          <w:highlight w:val="yellow"/>
        </w:rPr>
        <w:t xml:space="preserve"> med hänsyn till renskötseln i området eller xxx</w:t>
      </w:r>
      <w:r w:rsidRPr="00B57F70">
        <w:rPr>
          <w:highlight w:val="yellow"/>
        </w:rPr>
        <w:t>.</w:t>
      </w:r>
      <w:r>
        <w:t xml:space="preserve"> Länsstyrelsen anser att mineralprospektering i det här fallet utgör ett särskilt skäl. </w:t>
      </w:r>
    </w:p>
    <w:p w14:paraId="038AF52D" w14:textId="77777777" w:rsidR="00DB2F3A" w:rsidRDefault="00DB2F3A" w:rsidP="00DB2F3A">
      <w:pPr>
        <w:pStyle w:val="IngetavstndLST"/>
        <w:jc w:val="both"/>
      </w:pPr>
    </w:p>
    <w:p w14:paraId="04EC706E" w14:textId="77777777" w:rsidR="00DB2F3A" w:rsidRDefault="00DB2F3A" w:rsidP="00DB2F3A">
      <w:pPr>
        <w:pStyle w:val="IngetavstndLST"/>
        <w:jc w:val="both"/>
      </w:pPr>
      <w:r w:rsidRPr="006D6AD4">
        <w:rPr>
          <w:highlight w:val="yellow"/>
        </w:rPr>
        <w:t xml:space="preserve">Det aktuella området för prospektering/undersökning ingår i ett område som klassats som reservatsklass, det vill säga med höga naturvärden. Många av vattendragen inom området ingår även i </w:t>
      </w:r>
      <w:r>
        <w:rPr>
          <w:highlight w:val="yellow"/>
        </w:rPr>
        <w:t>xx</w:t>
      </w:r>
      <w:r w:rsidRPr="006D6AD4">
        <w:rPr>
          <w:highlight w:val="yellow"/>
        </w:rPr>
        <w:t xml:space="preserve"> och </w:t>
      </w:r>
      <w:r>
        <w:rPr>
          <w:highlight w:val="yellow"/>
        </w:rPr>
        <w:t>yy</w:t>
      </w:r>
      <w:r w:rsidRPr="006D6AD4">
        <w:rPr>
          <w:highlight w:val="yellow"/>
        </w:rPr>
        <w:t xml:space="preserve"> älvssystem, vilka är utpekade som Natura 2000-vatten.</w:t>
      </w:r>
      <w:r>
        <w:t xml:space="preserve"> </w:t>
      </w:r>
    </w:p>
    <w:p w14:paraId="7DA1DE76" w14:textId="77777777" w:rsidR="00DB2F3A" w:rsidRDefault="00DB2F3A" w:rsidP="00DB2F3A">
      <w:pPr>
        <w:pStyle w:val="IngetavstndLST"/>
        <w:jc w:val="both"/>
      </w:pPr>
    </w:p>
    <w:p w14:paraId="45E03F0A" w14:textId="5689DAF3" w:rsidR="00DB2F3A" w:rsidRDefault="00DB2F3A" w:rsidP="00DB2F3A">
      <w:pPr>
        <w:pStyle w:val="IngetavstndLST"/>
        <w:jc w:val="both"/>
      </w:pPr>
      <w:r>
        <w:t>För att begränsa negativ påverkan på våtmarker, vattendrag och andra känsliga naturmiljöer har Länsstyrelsen valt att förena dispensen med ovanstående villkor. Länsstyrelsen bedömer att om de ovan angivna villkoren samt de försiktighetsmått som angetts i ansökan och kompletteringar följs, så kommer någon skada av betydelse inte att uppstå på naturmiljön, och dispens kan därför medges.</w:t>
      </w:r>
    </w:p>
    <w:p w14:paraId="01A17BD1" w14:textId="143B3CAA" w:rsidR="00EE6C3E" w:rsidRDefault="00EE6C3E" w:rsidP="00DB2F3A">
      <w:pPr>
        <w:pStyle w:val="IngetavstndLST"/>
        <w:jc w:val="both"/>
      </w:pPr>
    </w:p>
    <w:p w14:paraId="3F930DC4" w14:textId="248FB063" w:rsidR="00EE6C3E" w:rsidRDefault="00EE6C3E" w:rsidP="00DB2F3A">
      <w:pPr>
        <w:pStyle w:val="IngetavstndLST"/>
        <w:jc w:val="both"/>
      </w:pPr>
      <w:r w:rsidRPr="00EE6C3E">
        <w:rPr>
          <w:b/>
        </w:rPr>
        <w:t>Lagstiftning som beslutet grundar sig på</w:t>
      </w:r>
    </w:p>
    <w:p w14:paraId="5833CA05" w14:textId="77777777" w:rsidR="00EE6C3E" w:rsidRDefault="00EE6C3E" w:rsidP="00EE6C3E">
      <w:pPr>
        <w:autoSpaceDE w:val="0"/>
        <w:autoSpaceDN w:val="0"/>
        <w:spacing w:before="40" w:after="40"/>
        <w:jc w:val="both"/>
        <w:rPr>
          <w:sz w:val="22"/>
        </w:rPr>
      </w:pPr>
      <w:r>
        <w:rPr>
          <w:szCs w:val="24"/>
        </w:rPr>
        <w:t>Enligt huvudregeln i 1 § terrängkörningslagen (1975:1313) är körning i terräng på</w:t>
      </w:r>
    </w:p>
    <w:p w14:paraId="55DA0AA4" w14:textId="77777777" w:rsidR="00EE6C3E" w:rsidRDefault="00EE6C3E" w:rsidP="00EE6C3E">
      <w:pPr>
        <w:autoSpaceDE w:val="0"/>
        <w:autoSpaceDN w:val="0"/>
        <w:spacing w:before="40" w:after="40"/>
        <w:jc w:val="both"/>
      </w:pPr>
      <w:r>
        <w:rPr>
          <w:szCs w:val="24"/>
        </w:rPr>
        <w:t>barmark med motordrivet fordon för annat ändamål än jordbruk eller skogsbruk förbjudet.</w:t>
      </w:r>
    </w:p>
    <w:p w14:paraId="5E20E5E9" w14:textId="68B801FD" w:rsidR="00EE6C3E" w:rsidRDefault="00EE6C3E" w:rsidP="00EE6C3E">
      <w:pPr>
        <w:autoSpaceDE w:val="0"/>
        <w:autoSpaceDN w:val="0"/>
        <w:spacing w:before="40" w:after="40"/>
        <w:jc w:val="both"/>
      </w:pPr>
      <w:r>
        <w:rPr>
          <w:szCs w:val="24"/>
        </w:rPr>
        <w:t>Länsstyrelsen får med stöd av 12 § terrängkörningsförordningen (1978:594) meddela undantag från förbudet om det finns särskilda skäl.</w:t>
      </w:r>
      <w:r>
        <w:rPr>
          <w:rFonts w:ascii="Segoe UI" w:hAnsi="Segoe UI" w:cs="Segoe UI"/>
          <w:color w:val="000000"/>
          <w:sz w:val="20"/>
        </w:rPr>
        <w:t xml:space="preserve"> </w:t>
      </w:r>
    </w:p>
    <w:p w14:paraId="42978525" w14:textId="77777777" w:rsidR="00EE6C3E" w:rsidRDefault="00EE6C3E" w:rsidP="00EE6C3E">
      <w:pPr>
        <w:pStyle w:val="IngetavstndLST"/>
      </w:pPr>
    </w:p>
    <w:p w14:paraId="7F58E605" w14:textId="77777777" w:rsidR="00DB2F3A" w:rsidRDefault="00DB2F3A" w:rsidP="00DB2F3A">
      <w:pPr>
        <w:pStyle w:val="IngetavstndLST"/>
        <w:jc w:val="both"/>
        <w:rPr>
          <w:b/>
        </w:rPr>
      </w:pPr>
      <w:r>
        <w:rPr>
          <w:b/>
        </w:rPr>
        <w:t>Länsstyrelsens upplysning</w:t>
      </w:r>
    </w:p>
    <w:p w14:paraId="107D433B" w14:textId="77777777" w:rsidR="00DB2F3A" w:rsidRDefault="00DB2F3A" w:rsidP="00DB2F3A">
      <w:pPr>
        <w:pStyle w:val="IngetavstndLST"/>
        <w:jc w:val="both"/>
      </w:pPr>
      <w:r w:rsidRPr="00911975">
        <w:rPr>
          <w:highlight w:val="yellow"/>
        </w:rPr>
        <w:t>Om körning sker under fåglarnas mest intensiva häckningsperiod (1 maj – 31 juli) kan dispens krävas enligt Artskyddsförordningen (2007:845).</w:t>
      </w:r>
    </w:p>
    <w:p w14:paraId="3088FA30" w14:textId="77777777" w:rsidR="00DB2F3A" w:rsidRDefault="00DB2F3A" w:rsidP="00DB2F3A">
      <w:pPr>
        <w:pStyle w:val="IngetavstndLST"/>
        <w:jc w:val="both"/>
      </w:pPr>
    </w:p>
    <w:p w14:paraId="11F2CF6B" w14:textId="77777777" w:rsidR="00DB2F3A" w:rsidRDefault="00DB2F3A" w:rsidP="00DB2F3A">
      <w:pPr>
        <w:pStyle w:val="IngetavstndLST"/>
        <w:jc w:val="both"/>
      </w:pPr>
      <w:r w:rsidRPr="00405995">
        <w:rPr>
          <w:highlight w:val="yellow"/>
        </w:rPr>
        <w:t>Enligt 4 § artskyddsförordningen (2007:845) är det förbjudet att avsiktligt störa vilda fåglar, särskilt under parnings-, uppfödnings-, övervintrings- och flyttningsperioder. Körning får därför inte ske under den period när fåglarnas häckning är som mest intensiv. Under övrig tid ska sådan hänsyn visas att störningar på fåglar och andra vilda djur undviks.</w:t>
      </w:r>
    </w:p>
    <w:p w14:paraId="2B0BF664" w14:textId="77777777" w:rsidR="00DB2F3A" w:rsidRDefault="00DB2F3A" w:rsidP="00DB2F3A">
      <w:pPr>
        <w:pStyle w:val="IngetavstndLST"/>
        <w:rPr>
          <w:highlight w:val="yellow"/>
        </w:rPr>
      </w:pPr>
    </w:p>
    <w:p w14:paraId="04F82EDA" w14:textId="77777777" w:rsidR="00DB2F3A" w:rsidRPr="00D705CD" w:rsidRDefault="00DB2F3A" w:rsidP="00DB2F3A">
      <w:pPr>
        <w:pStyle w:val="IngetavstndLST"/>
        <w:jc w:val="both"/>
      </w:pPr>
      <w:r>
        <w:t>Länsstyrelsen erinrar om att den som bedriver en verksamhet eller vidtar en åtgärd ska utföra de skyddsåtgärder, iaktta de begränsningar och vidta de försiktighetsmått i övrigt som behövs för att förebygga, hindra eller motverka att verksamheten eller åtgärden medför skada eller olägenhet för människors hälsa eller miljön. I samma syfte ska vid yrkesmässig verksamhet användas bästa möjliga teknik. Kraven gäller i den utsträckning det inte är orimligt att uppfylla dem (2 kap. 3 och 7 §§ miljöbalken).</w:t>
      </w:r>
    </w:p>
    <w:p w14:paraId="402A107A" w14:textId="77777777" w:rsidR="00DB2F3A" w:rsidRDefault="00DB2F3A" w:rsidP="00DB2F3A">
      <w:pPr>
        <w:tabs>
          <w:tab w:val="left" w:pos="3402"/>
        </w:tabs>
      </w:pPr>
    </w:p>
    <w:p w14:paraId="28C6E366" w14:textId="77777777" w:rsidR="00DB2F3A" w:rsidRDefault="00DB2F3A" w:rsidP="00DB2F3A">
      <w:pPr>
        <w:pStyle w:val="Sidfot"/>
        <w:tabs>
          <w:tab w:val="clear" w:pos="4819"/>
          <w:tab w:val="clear" w:pos="9071"/>
        </w:tabs>
      </w:pPr>
      <w:r w:rsidRPr="003B4DF1">
        <w:t xml:space="preserve">Länsstyrelsen erinrar om att detta beslut inte befriar från skyldigheten att iaktta vad som föreskrivs i andra lagar och författningar.  </w:t>
      </w:r>
    </w:p>
    <w:p w14:paraId="710E9A0A" w14:textId="77777777" w:rsidR="00DB2F3A" w:rsidRDefault="00DB2F3A" w:rsidP="00DB2F3A">
      <w:pPr>
        <w:pStyle w:val="IngetavstndLST"/>
        <w:jc w:val="both"/>
      </w:pPr>
    </w:p>
    <w:p w14:paraId="5838779A" w14:textId="77777777" w:rsidR="00DB2F3A" w:rsidRDefault="00DB2F3A" w:rsidP="00DB2F3A">
      <w:pPr>
        <w:pStyle w:val="IngetavstndLST"/>
        <w:jc w:val="both"/>
      </w:pPr>
      <w:r>
        <w:t>Beslutet befriar inte från skyldigheten att inhämta markägarens medgivande vad avser körning på privat mark.</w:t>
      </w:r>
    </w:p>
    <w:p w14:paraId="09514676" w14:textId="77777777" w:rsidR="00DB2F3A" w:rsidRDefault="00DB2F3A" w:rsidP="00DB2F3A">
      <w:pPr>
        <w:tabs>
          <w:tab w:val="left" w:pos="5670"/>
          <w:tab w:val="left" w:pos="7939"/>
          <w:tab w:val="left" w:pos="9639"/>
        </w:tabs>
        <w:rPr>
          <w:i/>
        </w:rPr>
      </w:pPr>
    </w:p>
    <w:p w14:paraId="0E08C57B" w14:textId="77777777" w:rsidR="00DB2F3A" w:rsidRPr="00DB2F3A" w:rsidRDefault="00DB2F3A" w:rsidP="00DB2F3A">
      <w:pPr>
        <w:tabs>
          <w:tab w:val="left" w:pos="5670"/>
          <w:tab w:val="left" w:pos="7939"/>
          <w:tab w:val="left" w:pos="9639"/>
        </w:tabs>
        <w:rPr>
          <w:i/>
          <w:highlight w:val="yellow"/>
        </w:rPr>
      </w:pPr>
      <w:r w:rsidRPr="00DB2F3A">
        <w:rPr>
          <w:i/>
          <w:highlight w:val="yellow"/>
        </w:rPr>
        <w:t xml:space="preserve">Renskötseln </w:t>
      </w:r>
    </w:p>
    <w:p w14:paraId="018CC466" w14:textId="77777777" w:rsidR="00DB2F3A" w:rsidRDefault="00DB2F3A" w:rsidP="00DB2F3A">
      <w:pPr>
        <w:tabs>
          <w:tab w:val="left" w:pos="5670"/>
          <w:tab w:val="left" w:pos="7939"/>
          <w:tab w:val="left" w:pos="9639"/>
        </w:tabs>
      </w:pPr>
      <w:r w:rsidRPr="00DB2F3A">
        <w:rPr>
          <w:highlight w:val="yellow"/>
        </w:rPr>
        <w:t>Enligt 94 § Rennäringslagen (1971:437) kan den som med uppsåt eller av oaktsamhet</w:t>
      </w:r>
      <w:bookmarkStart w:id="1" w:name="P94S1N1"/>
      <w:bookmarkEnd w:id="1"/>
      <w:r w:rsidRPr="00DB2F3A">
        <w:rPr>
          <w:highlight w:val="yellow"/>
        </w:rPr>
        <w:t xml:space="preserve"> stänger av flyttningsväg för renar eller vidtar åtgärder så att vägens framkomlighet väsentligt försämras, </w:t>
      </w:r>
      <w:bookmarkStart w:id="2" w:name="P94S1N2"/>
      <w:bookmarkEnd w:id="2"/>
      <w:r w:rsidRPr="00DB2F3A">
        <w:rPr>
          <w:highlight w:val="yellow"/>
        </w:rPr>
        <w:t xml:space="preserve">skrämmer eller på annat sätt ofredar renar, </w:t>
      </w:r>
      <w:bookmarkStart w:id="3" w:name="P94S1N3"/>
      <w:bookmarkEnd w:id="3"/>
      <w:r w:rsidRPr="00DB2F3A">
        <w:rPr>
          <w:highlight w:val="yellow"/>
        </w:rPr>
        <w:t>obehörigen driver bort renar eller hindrar renar från att beta i ett område där renskötsel är tillåten dömas till böter.</w:t>
      </w:r>
    </w:p>
    <w:p w14:paraId="10571FD3" w14:textId="77777777" w:rsidR="00DB2F3A" w:rsidRDefault="00DB2F3A" w:rsidP="00DB2F3A">
      <w:pPr>
        <w:tabs>
          <w:tab w:val="left" w:pos="5670"/>
          <w:tab w:val="left" w:pos="7939"/>
          <w:tab w:val="left" w:pos="9639"/>
        </w:tabs>
      </w:pPr>
    </w:p>
    <w:p w14:paraId="796C9FEA" w14:textId="77777777" w:rsidR="00DB2F3A" w:rsidRPr="00DA0BA3" w:rsidRDefault="00DB2F3A" w:rsidP="00DB2F3A">
      <w:pPr>
        <w:tabs>
          <w:tab w:val="left" w:pos="5670"/>
          <w:tab w:val="left" w:pos="7939"/>
          <w:tab w:val="left" w:pos="9639"/>
        </w:tabs>
        <w:rPr>
          <w:i/>
        </w:rPr>
      </w:pPr>
      <w:r>
        <w:rPr>
          <w:i/>
        </w:rPr>
        <w:t xml:space="preserve">Fornlämningar </w:t>
      </w:r>
    </w:p>
    <w:p w14:paraId="573FDD8A" w14:textId="77777777" w:rsidR="00DB2F3A" w:rsidRDefault="00DB2F3A" w:rsidP="00DB2F3A">
      <w:pPr>
        <w:tabs>
          <w:tab w:val="left" w:pos="3402"/>
        </w:tabs>
      </w:pPr>
      <w:r>
        <w:t>Fornlämningar är skyd</w:t>
      </w:r>
      <w:r>
        <w:softHyphen/>
        <w:t>dade enligt kulturmiljölagen (KML, SFS 1988:950) 2 kap. Verksamhetsutövare har enl. 2 kap. 10 § skyldighet att ta reda på om fast fornlämning berörs av verksamheten och att då samråda med Länsstyrelsen. Alla fornlämningar är lagskyddade, därför vill vi även göra verksamhetsutövaren uppmärksam på att enligt 10 § ska ett arbete omedelbart avbrytas och Läns</w:t>
      </w:r>
      <w:r>
        <w:softHyphen/>
        <w:t>styrel</w:t>
      </w:r>
      <w:r>
        <w:softHyphen/>
        <w:t>sen kontaktas om en okänd fornlämning på</w:t>
      </w:r>
      <w:r>
        <w:softHyphen/>
        <w:t>träffas under arbetets gång. Till varje forn</w:t>
      </w:r>
      <w:r>
        <w:softHyphen/>
        <w:t>lämning hör ett fornlämningsområde som också är skyddat i lag. Fornlämningarnas skydds</w:t>
      </w:r>
      <w:r>
        <w:softHyphen/>
        <w:t>område är inte utsatt på kartan vilket är viktigt att komma ihåg. Därför ska sökande sam</w:t>
      </w:r>
      <w:r>
        <w:softHyphen/>
        <w:t>råda med Länsstyrelsens kul</w:t>
      </w:r>
      <w:r>
        <w:softHyphen/>
        <w:t>turmiljöen</w:t>
      </w:r>
      <w:r>
        <w:softHyphen/>
        <w:t xml:space="preserve">het om de planerar en verksamhet närmare än </w:t>
      </w:r>
      <w:smartTag w:uri="urn:schemas-microsoft-com:office:smarttags" w:element="metricconverter">
        <w:smartTagPr>
          <w:attr w:name="ProductID" w:val="150 meter"/>
        </w:smartTagPr>
        <w:r>
          <w:t>150 meter</w:t>
        </w:r>
      </w:smartTag>
      <w:r>
        <w:t xml:space="preserve"> från en forn- eller kul</w:t>
      </w:r>
      <w:r>
        <w:softHyphen/>
        <w:t>turläm</w:t>
      </w:r>
      <w:r>
        <w:softHyphen/>
        <w:t>ning. Information om forn- och kulturlämningar finns åtkomligt via på Riksantikvarieäm</w:t>
      </w:r>
      <w:r>
        <w:softHyphen/>
        <w:t xml:space="preserve">betets hemsida (FMIS) </w:t>
      </w:r>
      <w:hyperlink r:id="rId10" w:tooltip="http://www.fmis.raa.se/cocoon/fornsok/search.html" w:history="1">
        <w:r>
          <w:rPr>
            <w:rStyle w:val="Hyperlnk"/>
          </w:rPr>
          <w:t>http://www.fmis.raa.se/cocoon/fornsok/search.html</w:t>
        </w:r>
      </w:hyperlink>
      <w:r>
        <w:t xml:space="preserve"> </w:t>
      </w:r>
    </w:p>
    <w:p w14:paraId="4822CD3A" w14:textId="77777777" w:rsidR="00DB2F3A" w:rsidRDefault="00DB2F3A" w:rsidP="00DB2F3A">
      <w:pPr>
        <w:pStyle w:val="Brdtext21"/>
      </w:pPr>
    </w:p>
    <w:p w14:paraId="7A27F898" w14:textId="77777777" w:rsidR="00DB2F3A" w:rsidRDefault="00DB2F3A" w:rsidP="00DB2F3A">
      <w:pPr>
        <w:pStyle w:val="Brdtext21"/>
        <w:rPr>
          <w:b/>
        </w:rPr>
      </w:pPr>
      <w:r>
        <w:rPr>
          <w:b/>
        </w:rPr>
        <w:t>Hur man överklagar</w:t>
      </w:r>
    </w:p>
    <w:p w14:paraId="6A78C6D8" w14:textId="77777777" w:rsidR="00DB2F3A" w:rsidRDefault="00DB2F3A" w:rsidP="00DB2F3A">
      <w:pPr>
        <w:pStyle w:val="Brdtext21"/>
      </w:pPr>
      <w:r>
        <w:t>Detta beslut kan överklagas hos Förvaltningsrätten (se bilaga 2).</w:t>
      </w:r>
    </w:p>
    <w:p w14:paraId="36712E67" w14:textId="77777777" w:rsidR="00DB2F3A" w:rsidRDefault="00DB2F3A" w:rsidP="00DB2F3A">
      <w:pPr>
        <w:pStyle w:val="IngetavstndLST"/>
        <w:jc w:val="both"/>
      </w:pPr>
    </w:p>
    <w:p w14:paraId="2F0DE868" w14:textId="77777777" w:rsidR="00DB2F3A" w:rsidRDefault="00DB2F3A" w:rsidP="00DB2F3A">
      <w:pPr>
        <w:tabs>
          <w:tab w:val="left" w:pos="3402"/>
          <w:tab w:val="left" w:pos="5670"/>
        </w:tabs>
        <w:rPr>
          <w:b/>
        </w:rPr>
      </w:pPr>
      <w:r>
        <w:rPr>
          <w:b/>
        </w:rPr>
        <w:t>De som deltagit i beslutet</w:t>
      </w:r>
    </w:p>
    <w:p w14:paraId="4399A018" w14:textId="77777777" w:rsidR="00DB2F3A" w:rsidRDefault="00DB2F3A" w:rsidP="00DB2F3A">
      <w:pPr>
        <w:tabs>
          <w:tab w:val="left" w:pos="3402"/>
        </w:tabs>
      </w:pPr>
      <w:r>
        <w:t xml:space="preserve">I detta ärende har chefen för enhet namn namn beslutat efter föredragning av handläggare </w:t>
      </w:r>
      <w:r w:rsidRPr="008619C7">
        <w:rPr>
          <w:highlight w:val="yellow"/>
        </w:rPr>
        <w:t>XX YY</w:t>
      </w:r>
      <w:r>
        <w:t xml:space="preserve">. I handläggningen har även Länsstyrelsens </w:t>
      </w:r>
      <w:r>
        <w:rPr>
          <w:highlight w:val="yellow"/>
        </w:rPr>
        <w:t>xy-</w:t>
      </w:r>
      <w:r w:rsidRPr="008619C7">
        <w:rPr>
          <w:highlight w:val="yellow"/>
        </w:rPr>
        <w:t>enhet, XX</w:t>
      </w:r>
      <w:r>
        <w:t xml:space="preserve"> deltagit.</w:t>
      </w:r>
    </w:p>
    <w:p w14:paraId="779F890A" w14:textId="77777777" w:rsidR="00DB2F3A" w:rsidRPr="006562B3" w:rsidRDefault="00DB2F3A" w:rsidP="00DB2F3A">
      <w:pPr>
        <w:pStyle w:val="Brdtext21"/>
        <w:tabs>
          <w:tab w:val="left" w:pos="3402"/>
        </w:tabs>
        <w:rPr>
          <w:b/>
        </w:rPr>
      </w:pPr>
    </w:p>
    <w:p w14:paraId="3E593A0C" w14:textId="77777777" w:rsidR="00DB2F3A" w:rsidRDefault="00DB2F3A" w:rsidP="00DB2F3A">
      <w:pPr>
        <w:pStyle w:val="Brdtext21"/>
        <w:tabs>
          <w:tab w:val="left" w:pos="3402"/>
        </w:tabs>
        <w:rPr>
          <w:b/>
        </w:rPr>
      </w:pPr>
    </w:p>
    <w:p w14:paraId="0014AA1E" w14:textId="77777777" w:rsidR="00DB2F3A" w:rsidRDefault="00DB2F3A" w:rsidP="00DB2F3A">
      <w:pPr>
        <w:pStyle w:val="Brdtext21"/>
        <w:tabs>
          <w:tab w:val="left" w:pos="3402"/>
        </w:tabs>
        <w:rPr>
          <w:b/>
        </w:rPr>
      </w:pPr>
      <w:r w:rsidRPr="006562B3">
        <w:rPr>
          <w:b/>
        </w:rPr>
        <w:t>Bilaga:</w:t>
      </w:r>
    </w:p>
    <w:p w14:paraId="33CEE683" w14:textId="77777777" w:rsidR="00DB2F3A" w:rsidRDefault="00DB2F3A" w:rsidP="00DB2F3A">
      <w:pPr>
        <w:pStyle w:val="Brdtext21"/>
        <w:numPr>
          <w:ilvl w:val="0"/>
          <w:numId w:val="2"/>
        </w:numPr>
        <w:tabs>
          <w:tab w:val="left" w:pos="3402"/>
        </w:tabs>
      </w:pPr>
      <w:r>
        <w:t xml:space="preserve">Karta </w:t>
      </w:r>
      <w:r w:rsidRPr="00D74065">
        <w:rPr>
          <w:highlight w:val="yellow"/>
        </w:rPr>
        <w:t>XX</w:t>
      </w:r>
    </w:p>
    <w:p w14:paraId="236E107A" w14:textId="77777777" w:rsidR="00DB2F3A" w:rsidRDefault="00DB2F3A" w:rsidP="00DB2F3A">
      <w:pPr>
        <w:pStyle w:val="Brdtext21"/>
        <w:numPr>
          <w:ilvl w:val="0"/>
          <w:numId w:val="2"/>
        </w:numPr>
        <w:tabs>
          <w:tab w:val="left" w:pos="3402"/>
        </w:tabs>
      </w:pPr>
      <w:r>
        <w:t>Hur man överklagar till Förvaltningsrätten</w:t>
      </w:r>
    </w:p>
    <w:p w14:paraId="507AD41D" w14:textId="77777777" w:rsidR="00DB2F3A" w:rsidRDefault="00DB2F3A" w:rsidP="00DB2F3A">
      <w:pPr>
        <w:pStyle w:val="Brdtext21"/>
        <w:tabs>
          <w:tab w:val="left" w:pos="3402"/>
        </w:tabs>
        <w:ind w:left="720"/>
      </w:pPr>
    </w:p>
    <w:p w14:paraId="1328346E" w14:textId="77777777" w:rsidR="00DB2F3A" w:rsidRDefault="00DB2F3A" w:rsidP="00DB2F3A">
      <w:pPr>
        <w:pStyle w:val="Brdtext21"/>
        <w:tabs>
          <w:tab w:val="left" w:pos="3402"/>
        </w:tabs>
        <w:ind w:left="720"/>
      </w:pPr>
    </w:p>
    <w:p w14:paraId="087015EA" w14:textId="77777777" w:rsidR="00DB2F3A" w:rsidRDefault="00DB2F3A" w:rsidP="00DB2F3A">
      <w:pPr>
        <w:pStyle w:val="Brdtext21"/>
        <w:rPr>
          <w:b/>
        </w:rPr>
      </w:pPr>
      <w:r>
        <w:rPr>
          <w:b/>
        </w:rPr>
        <w:t>Kopia till:</w:t>
      </w:r>
    </w:p>
    <w:p w14:paraId="4F055D17" w14:textId="77777777" w:rsidR="00DB2F3A" w:rsidRPr="008335C7" w:rsidRDefault="00DB2F3A" w:rsidP="00DB2F3A">
      <w:pPr>
        <w:tabs>
          <w:tab w:val="left" w:pos="5670"/>
          <w:tab w:val="left" w:pos="7939"/>
          <w:tab w:val="left" w:pos="9639"/>
        </w:tabs>
        <w:rPr>
          <w:szCs w:val="24"/>
        </w:rPr>
      </w:pPr>
      <w:r w:rsidRPr="008335C7">
        <w:rPr>
          <w:szCs w:val="24"/>
        </w:rPr>
        <w:t>Naturvårdsverket, 106 48 S</w:t>
      </w:r>
      <w:r>
        <w:rPr>
          <w:szCs w:val="24"/>
        </w:rPr>
        <w:t>tockholm</w:t>
      </w:r>
      <w:r w:rsidRPr="006562B3">
        <w:rPr>
          <w:szCs w:val="24"/>
        </w:rPr>
        <w:tab/>
      </w:r>
    </w:p>
    <w:p w14:paraId="1BD12635" w14:textId="2A9F9C7F" w:rsidR="00DB2F3A" w:rsidRDefault="00DB2F3A" w:rsidP="00DB2F3A">
      <w:pPr>
        <w:pStyle w:val="IngetavstndLST"/>
        <w:jc w:val="both"/>
      </w:pPr>
      <w:r w:rsidRPr="00A40A30">
        <w:rPr>
          <w:highlight w:val="yellow"/>
        </w:rPr>
        <w:t>XX kommun,</w:t>
      </w:r>
      <w:r>
        <w:t xml:space="preserve"> </w:t>
      </w:r>
    </w:p>
    <w:p w14:paraId="48437B8B" w14:textId="46AC12E1" w:rsidR="005A79EA" w:rsidRPr="00E22CD3" w:rsidRDefault="005A79EA" w:rsidP="00DB2F3A">
      <w:pPr>
        <w:pStyle w:val="IngetavstndLST"/>
        <w:jc w:val="both"/>
      </w:pPr>
      <w:r w:rsidRPr="005A79EA">
        <w:rPr>
          <w:highlight w:val="yellow"/>
        </w:rPr>
        <w:t>Polisen</w:t>
      </w:r>
    </w:p>
    <w:p w14:paraId="41B3737B" w14:textId="77777777" w:rsidR="005F65AF" w:rsidRPr="00DB2F3A" w:rsidRDefault="005F65AF" w:rsidP="00DB2F3A"/>
    <w:sectPr w:rsidR="005F65AF" w:rsidRPr="00DB2F3A" w:rsidSect="00287F74">
      <w:headerReference w:type="default" r:id="rId11"/>
      <w:headerReference w:type="first" r:id="rId12"/>
      <w:footerReference w:type="first" r:id="rId13"/>
      <w:pgSz w:w="11907" w:h="16840"/>
      <w:pgMar w:top="567" w:right="567" w:bottom="567" w:left="2835" w:header="561" w:footer="52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82633" w14:textId="77777777" w:rsidR="00493068" w:rsidRDefault="00493068" w:rsidP="00DB2F3A">
      <w:r>
        <w:separator/>
      </w:r>
    </w:p>
  </w:endnote>
  <w:endnote w:type="continuationSeparator" w:id="0">
    <w:p w14:paraId="1FD9C109" w14:textId="77777777" w:rsidR="00493068" w:rsidRDefault="00493068" w:rsidP="00DB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184F" w14:textId="77777777" w:rsidR="00287F74" w:rsidRDefault="00425A85" w:rsidP="00287F74">
    <w:pPr>
      <w:pStyle w:val="Sidfot"/>
      <w:pBdr>
        <w:between w:val="single" w:sz="6" w:space="1" w:color="auto"/>
      </w:pBdr>
      <w:tabs>
        <w:tab w:val="clear" w:pos="4819"/>
        <w:tab w:val="left" w:pos="0"/>
        <w:tab w:val="left" w:pos="1701"/>
        <w:tab w:val="left" w:pos="3261"/>
        <w:tab w:val="left" w:pos="4678"/>
        <w:tab w:val="left" w:pos="6237"/>
        <w:tab w:val="left" w:pos="8789"/>
      </w:tabs>
      <w:ind w:left="-2268" w:right="-2"/>
      <w:rPr>
        <w:b/>
        <w:sz w:val="16"/>
      </w:rPr>
    </w:pPr>
  </w:p>
  <w:p w14:paraId="620E7114" w14:textId="77777777" w:rsidR="00287F74" w:rsidRDefault="00425A85" w:rsidP="00287F74">
    <w:pPr>
      <w:pStyle w:val="Sidfot"/>
      <w:tabs>
        <w:tab w:val="clear" w:pos="4819"/>
        <w:tab w:val="left" w:pos="0"/>
        <w:tab w:val="left" w:pos="1701"/>
        <w:tab w:val="left" w:pos="3261"/>
        <w:tab w:val="left" w:pos="4678"/>
        <w:tab w:val="left" w:pos="6237"/>
        <w:tab w:val="left" w:pos="8789"/>
      </w:tabs>
      <w:ind w:left="-2268" w:right="-2"/>
      <w:rPr>
        <w:b/>
        <w:sz w:val="16"/>
      </w:rPr>
    </w:pPr>
  </w:p>
  <w:p w14:paraId="5F14F90F" w14:textId="77777777" w:rsidR="00287F74" w:rsidRDefault="005673C0" w:rsidP="00287F74">
    <w:pPr>
      <w:pStyle w:val="Sidfot"/>
      <w:pBdr>
        <w:top w:val="single" w:sz="6" w:space="1" w:color="auto"/>
        <w:between w:val="single" w:sz="6" w:space="1" w:color="auto"/>
      </w:pBdr>
      <w:tabs>
        <w:tab w:val="clear" w:pos="4819"/>
        <w:tab w:val="left" w:pos="-709"/>
        <w:tab w:val="left" w:pos="851"/>
        <w:tab w:val="left" w:pos="2127"/>
        <w:tab w:val="left" w:pos="3686"/>
        <w:tab w:val="left" w:pos="6237"/>
        <w:tab w:val="left" w:pos="8789"/>
      </w:tabs>
      <w:ind w:left="-2268" w:right="-2"/>
      <w:rPr>
        <w:sz w:val="12"/>
      </w:rPr>
    </w:pPr>
    <w:r>
      <w:rPr>
        <w:caps/>
        <w:sz w:val="12"/>
      </w:rPr>
      <w:t>Postadress</w:t>
    </w:r>
    <w:r>
      <w:rPr>
        <w:sz w:val="12"/>
      </w:rPr>
      <w:tab/>
    </w:r>
    <w:r>
      <w:rPr>
        <w:caps/>
        <w:sz w:val="12"/>
      </w:rPr>
      <w:t>Besöksadress</w:t>
    </w:r>
    <w:r>
      <w:rPr>
        <w:sz w:val="12"/>
      </w:rPr>
      <w:tab/>
    </w:r>
    <w:r>
      <w:rPr>
        <w:caps/>
        <w:sz w:val="12"/>
      </w:rPr>
      <w:t>Telefon</w:t>
    </w:r>
    <w:r>
      <w:rPr>
        <w:sz w:val="12"/>
      </w:rPr>
      <w:tab/>
      <w:t>TELEFAX</w:t>
    </w:r>
    <w:r>
      <w:rPr>
        <w:sz w:val="12"/>
      </w:rPr>
      <w:tab/>
    </w:r>
    <w:r>
      <w:rPr>
        <w:caps/>
        <w:sz w:val="12"/>
      </w:rPr>
      <w:t>E-post</w:t>
    </w:r>
    <w:r>
      <w:rPr>
        <w:sz w:val="12"/>
      </w:rPr>
      <w:tab/>
      <w:t>INTERNET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1B07E" w14:textId="77777777" w:rsidR="00493068" w:rsidRDefault="00493068" w:rsidP="00DB2F3A">
      <w:r>
        <w:separator/>
      </w:r>
    </w:p>
  </w:footnote>
  <w:footnote w:type="continuationSeparator" w:id="0">
    <w:p w14:paraId="222C4810" w14:textId="77777777" w:rsidR="00493068" w:rsidRDefault="00493068" w:rsidP="00DB2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6" w:type="dxa"/>
      <w:tblInd w:w="-2268" w:type="dxa"/>
      <w:tblLayout w:type="fixed"/>
      <w:tblCellMar>
        <w:left w:w="28" w:type="dxa"/>
        <w:right w:w="28" w:type="dxa"/>
      </w:tblCellMar>
      <w:tblLook w:val="0000" w:firstRow="0" w:lastRow="0" w:firstColumn="0" w:lastColumn="0" w:noHBand="0" w:noVBand="0"/>
    </w:tblPr>
    <w:tblGrid>
      <w:gridCol w:w="2835"/>
      <w:gridCol w:w="2863"/>
      <w:gridCol w:w="2835"/>
      <w:gridCol w:w="1729"/>
      <w:gridCol w:w="724"/>
    </w:tblGrid>
    <w:tr w:rsidR="00150665" w14:paraId="63CB6D1F" w14:textId="77777777" w:rsidTr="00DD514C">
      <w:trPr>
        <w:cantSplit/>
      </w:trPr>
      <w:tc>
        <w:tcPr>
          <w:tcW w:w="2835" w:type="dxa"/>
          <w:vMerge w:val="restart"/>
        </w:tcPr>
        <w:p w14:paraId="76B2D39A" w14:textId="77777777" w:rsidR="00150665" w:rsidRDefault="00425A85" w:rsidP="002C08CF">
          <w:pPr>
            <w:pStyle w:val="Sidhuvud"/>
            <w:jc w:val="center"/>
          </w:pPr>
        </w:p>
      </w:tc>
      <w:tc>
        <w:tcPr>
          <w:tcW w:w="2863" w:type="dxa"/>
          <w:vMerge w:val="restart"/>
        </w:tcPr>
        <w:p w14:paraId="456CB348" w14:textId="77777777" w:rsidR="00150665" w:rsidRDefault="00425A85" w:rsidP="002C08CF">
          <w:pPr>
            <w:pStyle w:val="Sidhuvud"/>
          </w:pPr>
        </w:p>
      </w:tc>
      <w:tc>
        <w:tcPr>
          <w:tcW w:w="4564" w:type="dxa"/>
          <w:gridSpan w:val="2"/>
        </w:tcPr>
        <w:p w14:paraId="7626A034" w14:textId="77777777" w:rsidR="00E82BE4" w:rsidRPr="00AA568C" w:rsidRDefault="005673C0" w:rsidP="008909BB">
          <w:pPr>
            <w:pStyle w:val="Sidhuvud"/>
            <w:rPr>
              <w:caps/>
            </w:rPr>
          </w:pPr>
          <w:r>
            <w:rPr>
              <w:caps/>
            </w:rPr>
            <w:fldChar w:fldCharType="begin"/>
          </w:r>
          <w:r>
            <w:rPr>
              <w:caps/>
            </w:rPr>
            <w:instrText xml:space="preserve"> REF  DokTyp </w:instrText>
          </w:r>
          <w:r>
            <w:rPr>
              <w:caps/>
            </w:rPr>
            <w:fldChar w:fldCharType="separate"/>
          </w:r>
          <w:r>
            <w:rPr>
              <w:caps/>
            </w:rPr>
            <w:t>Beslut</w:t>
          </w:r>
        </w:p>
        <w:p w14:paraId="42DCDCEF" w14:textId="77777777" w:rsidR="00150665" w:rsidRPr="00150665" w:rsidRDefault="005673C0" w:rsidP="00150665">
          <w:pPr>
            <w:pStyle w:val="Sidhuvud"/>
          </w:pPr>
          <w:r w:rsidRPr="00AA568C">
            <w:t xml:space="preserve"> </w:t>
          </w:r>
          <w:r>
            <w:rPr>
              <w:caps/>
            </w:rPr>
            <w:fldChar w:fldCharType="end"/>
          </w:r>
        </w:p>
      </w:tc>
      <w:tc>
        <w:tcPr>
          <w:tcW w:w="724" w:type="dxa"/>
          <w:vMerge w:val="restart"/>
        </w:tcPr>
        <w:p w14:paraId="2E1481FC" w14:textId="5E840112" w:rsidR="00150665" w:rsidRDefault="005673C0" w:rsidP="002C08CF">
          <w:pPr>
            <w:pStyle w:val="Sidhuvud"/>
          </w:pPr>
          <w:r>
            <w:fldChar w:fldCharType="begin"/>
          </w:r>
          <w:r>
            <w:instrText>PAGE</w:instrText>
          </w:r>
          <w:r>
            <w:fldChar w:fldCharType="separate"/>
          </w:r>
          <w:r w:rsidR="00425A85">
            <w:rPr>
              <w:noProof/>
            </w:rPr>
            <w:t>2</w:t>
          </w:r>
          <w:r>
            <w:fldChar w:fldCharType="end"/>
          </w:r>
          <w:r>
            <w:t xml:space="preserve"> (</w:t>
          </w:r>
          <w:r>
            <w:fldChar w:fldCharType="begin"/>
          </w:r>
          <w:r>
            <w:instrText xml:space="preserve">NUMPAGES </w:instrText>
          </w:r>
          <w:r>
            <w:fldChar w:fldCharType="separate"/>
          </w:r>
          <w:r w:rsidR="00425A85">
            <w:rPr>
              <w:noProof/>
            </w:rPr>
            <w:t>3</w:t>
          </w:r>
          <w:r>
            <w:fldChar w:fldCharType="end"/>
          </w:r>
          <w:r>
            <w:t>)</w:t>
          </w:r>
        </w:p>
      </w:tc>
    </w:tr>
    <w:tr w:rsidR="00150665" w14:paraId="5CF11292" w14:textId="77777777" w:rsidTr="002C08CF">
      <w:trPr>
        <w:cantSplit/>
        <w:trHeight w:val="724"/>
      </w:trPr>
      <w:tc>
        <w:tcPr>
          <w:tcW w:w="2835" w:type="dxa"/>
          <w:vMerge/>
        </w:tcPr>
        <w:p w14:paraId="0E263088" w14:textId="77777777" w:rsidR="00150665" w:rsidRDefault="00425A85" w:rsidP="002C08CF">
          <w:pPr>
            <w:pStyle w:val="Sidhuvud"/>
            <w:jc w:val="center"/>
            <w:rPr>
              <w:b/>
              <w:sz w:val="20"/>
            </w:rPr>
          </w:pPr>
        </w:p>
      </w:tc>
      <w:tc>
        <w:tcPr>
          <w:tcW w:w="2863" w:type="dxa"/>
          <w:vMerge/>
        </w:tcPr>
        <w:p w14:paraId="6A2084F4" w14:textId="77777777" w:rsidR="00150665" w:rsidRDefault="00425A85" w:rsidP="002C08CF">
          <w:pPr>
            <w:pStyle w:val="Sidhuvud"/>
          </w:pPr>
        </w:p>
      </w:tc>
      <w:tc>
        <w:tcPr>
          <w:tcW w:w="2835" w:type="dxa"/>
        </w:tcPr>
        <w:p w14:paraId="7C9983A4" w14:textId="77777777" w:rsidR="00150665" w:rsidRPr="00F95786" w:rsidRDefault="005673C0" w:rsidP="002C08CF">
          <w:pPr>
            <w:pStyle w:val="Sidhuvud"/>
            <w:rPr>
              <w:sz w:val="16"/>
              <w:szCs w:val="16"/>
              <w:lang w:val="en-US"/>
            </w:rPr>
          </w:pPr>
          <w:r>
            <w:rPr>
              <w:sz w:val="16"/>
              <w:szCs w:val="16"/>
              <w:lang w:val="en-US"/>
            </w:rPr>
            <w:t>Datum</w:t>
          </w:r>
        </w:p>
        <w:p w14:paraId="285C2636" w14:textId="77777777" w:rsidR="00E82BE4" w:rsidRPr="00AA568C" w:rsidRDefault="005673C0" w:rsidP="00150665">
          <w:pPr>
            <w:pStyle w:val="Sidhuvud"/>
          </w:pPr>
          <w:r>
            <w:fldChar w:fldCharType="begin"/>
          </w:r>
          <w:r>
            <w:instrText xml:space="preserve"> REF  Datum </w:instrText>
          </w:r>
          <w:r>
            <w:fldChar w:fldCharType="separate"/>
          </w:r>
          <w:r w:rsidR="00DB2F3A">
            <w:t>år-mm</w:t>
          </w:r>
          <w:r>
            <w:t>-</w:t>
          </w:r>
          <w:r w:rsidR="00DB2F3A">
            <w:t>dd</w:t>
          </w:r>
        </w:p>
        <w:p w14:paraId="7232B45D" w14:textId="77777777" w:rsidR="00150665" w:rsidRDefault="005673C0" w:rsidP="00150665">
          <w:pPr>
            <w:pStyle w:val="Sidhuvud"/>
            <w:rPr>
              <w:caps/>
            </w:rPr>
          </w:pPr>
          <w:r w:rsidRPr="00AA568C">
            <w:rPr>
              <w:caps/>
            </w:rPr>
            <w:t xml:space="preserve"> </w:t>
          </w:r>
          <w:r>
            <w:fldChar w:fldCharType="end"/>
          </w:r>
        </w:p>
      </w:tc>
      <w:tc>
        <w:tcPr>
          <w:tcW w:w="1729" w:type="dxa"/>
        </w:tcPr>
        <w:p w14:paraId="1E3E5052" w14:textId="77777777" w:rsidR="00150665" w:rsidRPr="00F95786" w:rsidRDefault="005673C0" w:rsidP="002C08CF">
          <w:pPr>
            <w:pStyle w:val="Sidhuvud"/>
            <w:rPr>
              <w:sz w:val="16"/>
              <w:szCs w:val="16"/>
              <w:lang w:val="en-US"/>
            </w:rPr>
          </w:pPr>
          <w:r>
            <w:rPr>
              <w:sz w:val="16"/>
              <w:szCs w:val="16"/>
              <w:lang w:val="en-US"/>
            </w:rPr>
            <w:t>Diarienummer</w:t>
          </w:r>
        </w:p>
        <w:p w14:paraId="579C0911" w14:textId="77777777" w:rsidR="00E82BE4" w:rsidRPr="00AA568C" w:rsidRDefault="005673C0" w:rsidP="00150665">
          <w:pPr>
            <w:pStyle w:val="Sidhuvud"/>
          </w:pPr>
          <w:r>
            <w:fldChar w:fldCharType="begin"/>
          </w:r>
          <w:r>
            <w:instrText xml:space="preserve"> REF  Diarie </w:instrText>
          </w:r>
          <w:r>
            <w:fldChar w:fldCharType="separate"/>
          </w:r>
          <w:r>
            <w:t>523-</w:t>
          </w:r>
          <w:r w:rsidR="00DB2F3A">
            <w:t>xxx-år</w:t>
          </w:r>
        </w:p>
        <w:p w14:paraId="1814C29F" w14:textId="77777777" w:rsidR="00150665" w:rsidRPr="00F95786" w:rsidRDefault="005673C0" w:rsidP="00150665">
          <w:pPr>
            <w:pStyle w:val="Sidhuvud"/>
            <w:rPr>
              <w:lang w:val="en-US"/>
            </w:rPr>
          </w:pPr>
          <w:r w:rsidRPr="00AA568C">
            <w:t xml:space="preserve"> </w:t>
          </w:r>
          <w:r>
            <w:fldChar w:fldCharType="end"/>
          </w:r>
        </w:p>
      </w:tc>
      <w:tc>
        <w:tcPr>
          <w:tcW w:w="724" w:type="dxa"/>
          <w:vMerge/>
        </w:tcPr>
        <w:p w14:paraId="6F7B0162" w14:textId="77777777" w:rsidR="00150665" w:rsidRDefault="00425A85" w:rsidP="002C08CF">
          <w:pPr>
            <w:pStyle w:val="Sidhuvud"/>
          </w:pPr>
        </w:p>
      </w:tc>
    </w:tr>
  </w:tbl>
  <w:p w14:paraId="2762628D" w14:textId="77777777" w:rsidR="00150665" w:rsidRPr="00287F74" w:rsidRDefault="00425A85" w:rsidP="00150665">
    <w:pPr>
      <w:tabs>
        <w:tab w:val="left" w:pos="340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6" w:type="dxa"/>
      <w:tblInd w:w="-2268" w:type="dxa"/>
      <w:tblLayout w:type="fixed"/>
      <w:tblCellMar>
        <w:left w:w="28" w:type="dxa"/>
        <w:right w:w="28" w:type="dxa"/>
      </w:tblCellMar>
      <w:tblLook w:val="0000" w:firstRow="0" w:lastRow="0" w:firstColumn="0" w:lastColumn="0" w:noHBand="0" w:noVBand="0"/>
    </w:tblPr>
    <w:tblGrid>
      <w:gridCol w:w="2835"/>
      <w:gridCol w:w="2722"/>
      <w:gridCol w:w="141"/>
      <w:gridCol w:w="2835"/>
      <w:gridCol w:w="1729"/>
      <w:gridCol w:w="724"/>
    </w:tblGrid>
    <w:tr w:rsidR="00150665" w:rsidRPr="00AA568C" w14:paraId="7E00C07C" w14:textId="77777777" w:rsidTr="00DD514C">
      <w:trPr>
        <w:cantSplit/>
      </w:trPr>
      <w:tc>
        <w:tcPr>
          <w:tcW w:w="2835" w:type="dxa"/>
          <w:vMerge w:val="restart"/>
        </w:tcPr>
        <w:p w14:paraId="2CA18B3D" w14:textId="77777777" w:rsidR="00150665" w:rsidRPr="00AA568C" w:rsidRDefault="00425A85" w:rsidP="008909BB">
          <w:pPr>
            <w:pStyle w:val="Sidhuvud"/>
            <w:jc w:val="center"/>
          </w:pPr>
        </w:p>
      </w:tc>
      <w:tc>
        <w:tcPr>
          <w:tcW w:w="2863" w:type="dxa"/>
          <w:gridSpan w:val="2"/>
          <w:vMerge w:val="restart"/>
        </w:tcPr>
        <w:p w14:paraId="4C676C4A" w14:textId="77777777" w:rsidR="00150665" w:rsidRPr="00AA568C" w:rsidRDefault="00425A85" w:rsidP="008909BB">
          <w:pPr>
            <w:pStyle w:val="Sidhuvud"/>
          </w:pPr>
        </w:p>
      </w:tc>
      <w:tc>
        <w:tcPr>
          <w:tcW w:w="4564" w:type="dxa"/>
          <w:gridSpan w:val="2"/>
        </w:tcPr>
        <w:p w14:paraId="36B23783" w14:textId="77777777" w:rsidR="00150665" w:rsidRPr="00AA568C" w:rsidRDefault="005673C0" w:rsidP="008909BB">
          <w:pPr>
            <w:pStyle w:val="Sidhuvud"/>
            <w:rPr>
              <w:caps/>
            </w:rPr>
          </w:pPr>
          <w:bookmarkStart w:id="4" w:name="DokTyp"/>
          <w:r>
            <w:rPr>
              <w:caps/>
            </w:rPr>
            <w:t>Beslut</w:t>
          </w:r>
        </w:p>
        <w:p w14:paraId="6E087441" w14:textId="77777777" w:rsidR="00150665" w:rsidRPr="00AA568C" w:rsidRDefault="005673C0" w:rsidP="008909BB">
          <w:pPr>
            <w:pStyle w:val="Sidhuvud"/>
          </w:pPr>
          <w:r w:rsidRPr="00AA568C">
            <w:t xml:space="preserve"> </w:t>
          </w:r>
          <w:bookmarkEnd w:id="4"/>
        </w:p>
      </w:tc>
      <w:tc>
        <w:tcPr>
          <w:tcW w:w="724" w:type="dxa"/>
          <w:vMerge w:val="restart"/>
        </w:tcPr>
        <w:p w14:paraId="5560CF62" w14:textId="200FCA65" w:rsidR="00150665" w:rsidRPr="00AA568C" w:rsidRDefault="005673C0" w:rsidP="008909BB">
          <w:pPr>
            <w:pStyle w:val="Sidhuvud"/>
          </w:pPr>
          <w:r w:rsidRPr="00AA568C">
            <w:fldChar w:fldCharType="begin"/>
          </w:r>
          <w:r w:rsidRPr="00AA568C">
            <w:instrText>PAGE</w:instrText>
          </w:r>
          <w:r w:rsidRPr="00AA568C">
            <w:fldChar w:fldCharType="separate"/>
          </w:r>
          <w:r w:rsidR="00425A85">
            <w:rPr>
              <w:noProof/>
            </w:rPr>
            <w:t>1</w:t>
          </w:r>
          <w:r w:rsidRPr="00AA568C">
            <w:fldChar w:fldCharType="end"/>
          </w:r>
          <w:r w:rsidRPr="00AA568C">
            <w:t xml:space="preserve"> (</w:t>
          </w:r>
          <w:r w:rsidRPr="00AA568C">
            <w:fldChar w:fldCharType="begin"/>
          </w:r>
          <w:r w:rsidRPr="00AA568C">
            <w:instrText xml:space="preserve">NUMPAGES </w:instrText>
          </w:r>
          <w:r w:rsidRPr="00AA568C">
            <w:fldChar w:fldCharType="separate"/>
          </w:r>
          <w:r w:rsidR="00425A85">
            <w:rPr>
              <w:noProof/>
            </w:rPr>
            <w:t>3</w:t>
          </w:r>
          <w:r w:rsidRPr="00AA568C">
            <w:fldChar w:fldCharType="end"/>
          </w:r>
          <w:r w:rsidRPr="00AA568C">
            <w:t>)</w:t>
          </w:r>
        </w:p>
      </w:tc>
    </w:tr>
    <w:tr w:rsidR="00150665" w:rsidRPr="00AA568C" w14:paraId="6612B554" w14:textId="77777777" w:rsidTr="008909BB">
      <w:trPr>
        <w:cantSplit/>
        <w:trHeight w:val="724"/>
      </w:trPr>
      <w:tc>
        <w:tcPr>
          <w:tcW w:w="2835" w:type="dxa"/>
          <w:vMerge/>
        </w:tcPr>
        <w:p w14:paraId="7DE545BC" w14:textId="77777777" w:rsidR="00150665" w:rsidRPr="00AA568C" w:rsidRDefault="00425A85" w:rsidP="008909BB">
          <w:pPr>
            <w:pStyle w:val="Sidhuvud"/>
            <w:jc w:val="center"/>
            <w:rPr>
              <w:b/>
              <w:sz w:val="20"/>
            </w:rPr>
          </w:pPr>
        </w:p>
      </w:tc>
      <w:tc>
        <w:tcPr>
          <w:tcW w:w="2863" w:type="dxa"/>
          <w:gridSpan w:val="2"/>
          <w:vMerge/>
        </w:tcPr>
        <w:p w14:paraId="5FB144B1" w14:textId="77777777" w:rsidR="00150665" w:rsidRPr="00AA568C" w:rsidRDefault="00425A85" w:rsidP="008909BB">
          <w:pPr>
            <w:pStyle w:val="Sidhuvud"/>
          </w:pPr>
        </w:p>
      </w:tc>
      <w:tc>
        <w:tcPr>
          <w:tcW w:w="2835" w:type="dxa"/>
        </w:tcPr>
        <w:p w14:paraId="2EA51CD5" w14:textId="77777777" w:rsidR="00150665" w:rsidRPr="00AA568C" w:rsidRDefault="005673C0" w:rsidP="00150665">
          <w:pPr>
            <w:pStyle w:val="Sidhuvud"/>
            <w:rPr>
              <w:sz w:val="16"/>
              <w:szCs w:val="16"/>
            </w:rPr>
          </w:pPr>
          <w:r>
            <w:rPr>
              <w:sz w:val="16"/>
              <w:szCs w:val="16"/>
            </w:rPr>
            <w:t>Datum</w:t>
          </w:r>
        </w:p>
        <w:p w14:paraId="0F4FEBC0" w14:textId="77777777" w:rsidR="00150665" w:rsidRPr="00AA568C" w:rsidRDefault="00DB2F3A" w:rsidP="00150665">
          <w:pPr>
            <w:pStyle w:val="Sidhuvud"/>
          </w:pPr>
          <w:bookmarkStart w:id="5" w:name="Datum"/>
          <w:r>
            <w:t>år</w:t>
          </w:r>
          <w:r w:rsidR="005673C0">
            <w:t>-</w:t>
          </w:r>
          <w:r>
            <w:t>mm</w:t>
          </w:r>
          <w:r w:rsidR="005673C0">
            <w:t>-</w:t>
          </w:r>
          <w:r>
            <w:t>dd</w:t>
          </w:r>
        </w:p>
        <w:p w14:paraId="0813EC76" w14:textId="77777777" w:rsidR="00150665" w:rsidRPr="00AA568C" w:rsidRDefault="005673C0" w:rsidP="008909BB">
          <w:pPr>
            <w:pStyle w:val="Sidhuvud"/>
            <w:rPr>
              <w:caps/>
            </w:rPr>
          </w:pPr>
          <w:r w:rsidRPr="00AA568C">
            <w:rPr>
              <w:caps/>
            </w:rPr>
            <w:t xml:space="preserve"> </w:t>
          </w:r>
          <w:bookmarkEnd w:id="5"/>
        </w:p>
      </w:tc>
      <w:tc>
        <w:tcPr>
          <w:tcW w:w="1729" w:type="dxa"/>
        </w:tcPr>
        <w:p w14:paraId="7F6317D2" w14:textId="77777777" w:rsidR="00150665" w:rsidRPr="00AA568C" w:rsidRDefault="005673C0" w:rsidP="00150665">
          <w:pPr>
            <w:pStyle w:val="Sidhuvud"/>
            <w:rPr>
              <w:sz w:val="16"/>
              <w:szCs w:val="16"/>
            </w:rPr>
          </w:pPr>
          <w:r>
            <w:rPr>
              <w:sz w:val="16"/>
              <w:szCs w:val="16"/>
            </w:rPr>
            <w:t>Diarienummer</w:t>
          </w:r>
        </w:p>
        <w:p w14:paraId="1795D2E5" w14:textId="77777777" w:rsidR="00150665" w:rsidRPr="00AA568C" w:rsidRDefault="005673C0" w:rsidP="00150665">
          <w:pPr>
            <w:pStyle w:val="Sidhuvud"/>
          </w:pPr>
          <w:bookmarkStart w:id="6" w:name="Diarie"/>
          <w:r>
            <w:t>523-</w:t>
          </w:r>
          <w:r w:rsidR="00DB2F3A">
            <w:t>xxx</w:t>
          </w:r>
          <w:r>
            <w:t>-</w:t>
          </w:r>
          <w:r w:rsidR="00DB2F3A">
            <w:t>xx</w:t>
          </w:r>
        </w:p>
        <w:p w14:paraId="69C85B8D" w14:textId="77777777" w:rsidR="00150665" w:rsidRPr="00AA568C" w:rsidRDefault="005673C0" w:rsidP="008909BB">
          <w:pPr>
            <w:pStyle w:val="Sidhuvud"/>
          </w:pPr>
          <w:r w:rsidRPr="00AA568C">
            <w:t xml:space="preserve"> </w:t>
          </w:r>
          <w:bookmarkEnd w:id="6"/>
        </w:p>
      </w:tc>
      <w:tc>
        <w:tcPr>
          <w:tcW w:w="724" w:type="dxa"/>
          <w:vMerge/>
        </w:tcPr>
        <w:p w14:paraId="466D318C" w14:textId="77777777" w:rsidR="00150665" w:rsidRPr="00AA568C" w:rsidRDefault="00425A85" w:rsidP="008909BB">
          <w:pPr>
            <w:pStyle w:val="Sidhuvud"/>
          </w:pPr>
        </w:p>
      </w:tc>
    </w:tr>
    <w:tr w:rsidR="00287F74" w:rsidRPr="00AA568C" w14:paraId="6793FB23" w14:textId="77777777" w:rsidTr="008909BB">
      <w:trPr>
        <w:cantSplit/>
      </w:trPr>
      <w:tc>
        <w:tcPr>
          <w:tcW w:w="2835" w:type="dxa"/>
        </w:tcPr>
        <w:p w14:paraId="76C33FD0" w14:textId="77777777" w:rsidR="00287F74" w:rsidRPr="00AA568C" w:rsidRDefault="00425A85" w:rsidP="008909BB">
          <w:pPr>
            <w:pStyle w:val="Sidhuvud"/>
          </w:pPr>
        </w:p>
      </w:tc>
      <w:tc>
        <w:tcPr>
          <w:tcW w:w="2722" w:type="dxa"/>
        </w:tcPr>
        <w:p w14:paraId="3B7408C5" w14:textId="77777777" w:rsidR="00287F74" w:rsidRPr="00AA568C" w:rsidRDefault="00425A85" w:rsidP="008909BB">
          <w:pPr>
            <w:pStyle w:val="Sidhuvud"/>
          </w:pPr>
        </w:p>
      </w:tc>
      <w:tc>
        <w:tcPr>
          <w:tcW w:w="5429" w:type="dxa"/>
          <w:gridSpan w:val="4"/>
        </w:tcPr>
        <w:tbl>
          <w:tblPr>
            <w:tblW w:w="5358" w:type="dxa"/>
            <w:tblInd w:w="113" w:type="dxa"/>
            <w:tblLayout w:type="fixed"/>
            <w:tblCellMar>
              <w:left w:w="28" w:type="dxa"/>
              <w:right w:w="68" w:type="dxa"/>
            </w:tblCellMar>
            <w:tblLook w:val="01E0" w:firstRow="1" w:lastRow="1" w:firstColumn="1" w:lastColumn="1" w:noHBand="0" w:noVBand="0"/>
          </w:tblPr>
          <w:tblGrid>
            <w:gridCol w:w="5358"/>
          </w:tblGrid>
          <w:tr w:rsidR="00287F74" w:rsidRPr="00AA568C" w14:paraId="1518A163" w14:textId="77777777" w:rsidTr="00287F74">
            <w:tc>
              <w:tcPr>
                <w:tcW w:w="5358" w:type="dxa"/>
                <w:shd w:val="clear" w:color="auto" w:fill="auto"/>
              </w:tcPr>
              <w:p w14:paraId="6D81514B" w14:textId="77777777" w:rsidR="00287F74" w:rsidRPr="00AA568C" w:rsidRDefault="00DB2F3A" w:rsidP="008909BB">
                <w:pPr>
                  <w:pStyle w:val="Sidhuvud"/>
                </w:pPr>
                <w:r>
                  <w:t>sökande</w:t>
                </w:r>
              </w:p>
            </w:tc>
          </w:tr>
        </w:tbl>
        <w:p w14:paraId="6CF3FF3F" w14:textId="77777777" w:rsidR="00287F74" w:rsidRPr="00AA568C" w:rsidRDefault="00425A85" w:rsidP="008909BB">
          <w:pPr>
            <w:pStyle w:val="Sidhuvud"/>
          </w:pPr>
        </w:p>
      </w:tc>
    </w:tr>
  </w:tbl>
  <w:p w14:paraId="3316533E" w14:textId="77777777" w:rsidR="00287F74" w:rsidRPr="00AA568C" w:rsidRDefault="00425A85" w:rsidP="00287F74">
    <w:pP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4D8"/>
    <w:multiLevelType w:val="hybridMultilevel"/>
    <w:tmpl w:val="AF6C5A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B7F2909"/>
    <w:multiLevelType w:val="hybridMultilevel"/>
    <w:tmpl w:val="09B6C5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94"/>
    <w:rsid w:val="001A235C"/>
    <w:rsid w:val="002D1A94"/>
    <w:rsid w:val="00425A85"/>
    <w:rsid w:val="00493068"/>
    <w:rsid w:val="005673C0"/>
    <w:rsid w:val="005A79EA"/>
    <w:rsid w:val="005F65AF"/>
    <w:rsid w:val="00BC2ECB"/>
    <w:rsid w:val="00DB2F3A"/>
    <w:rsid w:val="00EE6C3E"/>
    <w:rsid w:val="00EF6E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56C5E668"/>
  <w15:chartTrackingRefBased/>
  <w15:docId w15:val="{3E0562A0-EA0A-4550-A2B3-C7773136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F3A"/>
    <w:pPr>
      <w:spacing w:after="0" w:line="240" w:lineRule="auto"/>
    </w:pPr>
    <w:rPr>
      <w:rFonts w:ascii="Times New Roman" w:eastAsia="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etavstndLST">
    <w:name w:val="Inget avstånd LST"/>
    <w:basedOn w:val="Normal"/>
    <w:qFormat/>
    <w:rsid w:val="00DB2F3A"/>
    <w:rPr>
      <w:rFonts w:eastAsia="Calibri"/>
      <w:szCs w:val="24"/>
    </w:rPr>
  </w:style>
  <w:style w:type="paragraph" w:styleId="Sidfot">
    <w:name w:val="footer"/>
    <w:basedOn w:val="Normal"/>
    <w:link w:val="SidfotChar"/>
    <w:rsid w:val="00DB2F3A"/>
    <w:pPr>
      <w:tabs>
        <w:tab w:val="center" w:pos="4819"/>
        <w:tab w:val="right" w:pos="9071"/>
      </w:tabs>
    </w:pPr>
  </w:style>
  <w:style w:type="character" w:customStyle="1" w:styleId="SidfotChar">
    <w:name w:val="Sidfot Char"/>
    <w:basedOn w:val="Standardstycketeckensnitt"/>
    <w:link w:val="Sidfot"/>
    <w:rsid w:val="00DB2F3A"/>
    <w:rPr>
      <w:rFonts w:ascii="Times New Roman" w:eastAsia="Times New Roman" w:hAnsi="Times New Roman" w:cs="Times New Roman"/>
      <w:sz w:val="24"/>
      <w:szCs w:val="20"/>
      <w:lang w:eastAsia="sv-SE"/>
    </w:rPr>
  </w:style>
  <w:style w:type="paragraph" w:styleId="Sidhuvud">
    <w:name w:val="header"/>
    <w:basedOn w:val="Normal"/>
    <w:link w:val="SidhuvudChar"/>
    <w:semiHidden/>
    <w:rsid w:val="00DB2F3A"/>
    <w:pPr>
      <w:tabs>
        <w:tab w:val="center" w:pos="4819"/>
        <w:tab w:val="right" w:pos="9071"/>
      </w:tabs>
    </w:pPr>
  </w:style>
  <w:style w:type="character" w:customStyle="1" w:styleId="SidhuvudChar">
    <w:name w:val="Sidhuvud Char"/>
    <w:basedOn w:val="Standardstycketeckensnitt"/>
    <w:link w:val="Sidhuvud"/>
    <w:semiHidden/>
    <w:rsid w:val="00DB2F3A"/>
    <w:rPr>
      <w:rFonts w:ascii="Times New Roman" w:eastAsia="Times New Roman" w:hAnsi="Times New Roman" w:cs="Times New Roman"/>
      <w:sz w:val="24"/>
      <w:szCs w:val="20"/>
      <w:lang w:eastAsia="sv-SE"/>
    </w:rPr>
  </w:style>
  <w:style w:type="character" w:styleId="Hyperlnk">
    <w:name w:val="Hyperlink"/>
    <w:semiHidden/>
    <w:rsid w:val="00DB2F3A"/>
    <w:rPr>
      <w:color w:val="0000FF"/>
      <w:u w:val="single"/>
    </w:rPr>
  </w:style>
  <w:style w:type="paragraph" w:customStyle="1" w:styleId="Brdtext21">
    <w:name w:val="Brödtext 21"/>
    <w:basedOn w:val="Normal"/>
    <w:rsid w:val="00DB2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5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mis.raa.se/cocoon/fornsok/search.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F95BA68E00549B29695701481801A" ma:contentTypeVersion="7" ma:contentTypeDescription="Create a new document." ma:contentTypeScope="" ma:versionID="9c039fdc01da72853d0500a0ffde6f4a">
  <xsd:schema xmlns:xsd="http://www.w3.org/2001/XMLSchema" xmlns:xs="http://www.w3.org/2001/XMLSchema" xmlns:p="http://schemas.microsoft.com/office/2006/metadata/properties" xmlns:ns1="http://schemas.microsoft.com/sharepoint/v3" xmlns:ns2="c963f940-bb46-447c-a0f4-f67cc4db45ba" targetNamespace="http://schemas.microsoft.com/office/2006/metadata/properties" ma:root="true" ma:fieldsID="4b92db40221eb7615959d2b52e9d6f15" ns1:_="" ns2:_="">
    <xsd:import namespace="http://schemas.microsoft.com/sharepoint/v3"/>
    <xsd:import namespace="c963f940-bb46-447c-a0f4-f67cc4db45ba"/>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3f940-bb46-447c-a0f4-f67cc4db45ba"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_x00f6_rfattare xmlns="c963f940-bb46-447c-a0f4-f67cc4db45ba" xsi:nil="true"/>
    <_x00c5_rtal xmlns="c963f940-bb46-447c-a0f4-f67cc4db45ba">2018</_x00c5_rtal>
    <L_x00f6_pnummer xmlns="c963f940-bb46-447c-a0f4-f67cc4db45ba" xsi:nil="true"/>
    <Serienummer xmlns="c963f940-bb46-447c-a0f4-f67cc4db45ba" xsi:nil="true"/>
    <Beskrivning xmlns="c963f940-bb46-447c-a0f4-f67cc4db45ba" xsi:nil="true"/>
    <PublishingExpirationDate xmlns="http://schemas.microsoft.com/sharepoint/v3" xsi:nil="true"/>
    <PublishingStartDate xmlns="http://schemas.microsoft.com/sharepoint/v3" xsi:nil="true"/>
    <Verksamhet xmlns="c963f940-bb46-447c-a0f4-f67cc4db45b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0AA0EE-0D9C-43BA-B69C-ADBBBA507C66}"/>
</file>

<file path=customXml/itemProps2.xml><?xml version="1.0" encoding="utf-8"?>
<ds:datastoreItem xmlns:ds="http://schemas.openxmlformats.org/officeDocument/2006/customXml" ds:itemID="{76A21A75-B8C6-4AB4-94D5-C46D56104FB9}">
  <ds:schemaRefs>
    <ds:schemaRef ds:uri="http://purl.org/dc/terms/"/>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F0A7754E-3D09-49A9-B670-CC9FC96451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268A79.dotm</Template>
  <TotalTime>0</TotalTime>
  <Pages>3</Pages>
  <Words>948</Words>
  <Characters>5569</Characters>
  <Application>Microsoft Office Word</Application>
  <DocSecurity>0</DocSecurity>
  <Lines>132</Lines>
  <Paragraphs>49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Strand Josefine</dc:creator>
  <cp:keywords/>
  <dc:description/>
  <cp:lastModifiedBy>Carina Lif</cp:lastModifiedBy>
  <cp:revision>2</cp:revision>
  <dcterms:created xsi:type="dcterms:W3CDTF">2018-05-09T09:23:00Z</dcterms:created>
  <dcterms:modified xsi:type="dcterms:W3CDTF">2018-05-09T09:23:00Z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0x0101003A2F95BA68E00549B29695701481801A</vt:lpwstr>
  </property>
</Properties>
</file>