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A3585" w14:textId="77777777" w:rsidR="00DB2F3A" w:rsidRDefault="00DB2F3A" w:rsidP="00DB2F3A">
      <w:pPr>
        <w:pStyle w:val="IngetavstndLST"/>
        <w:rPr>
          <w:b/>
          <w:sz w:val="28"/>
          <w:szCs w:val="28"/>
        </w:rPr>
      </w:pPr>
      <w:bookmarkStart w:id="0" w:name="_GoBack"/>
      <w:bookmarkEnd w:id="0"/>
    </w:p>
    <w:p w14:paraId="29C3F0F5" w14:textId="77777777" w:rsidR="00DB2F3A" w:rsidRDefault="00DB2F3A" w:rsidP="00DB2F3A">
      <w:pPr>
        <w:pStyle w:val="IngetavstndLST"/>
        <w:rPr>
          <w:b/>
          <w:sz w:val="28"/>
          <w:szCs w:val="28"/>
        </w:rPr>
      </w:pPr>
    </w:p>
    <w:p w14:paraId="5CFF9EF9" w14:textId="7341C4EC" w:rsidR="00DB2F3A" w:rsidRPr="00511CBA" w:rsidRDefault="00DB2F3A" w:rsidP="00511CBA">
      <w:pPr>
        <w:autoSpaceDE w:val="0"/>
        <w:autoSpaceDN w:val="0"/>
        <w:adjustRightInd w:val="0"/>
        <w:rPr>
          <w:rFonts w:ascii="TimesNewRomanPS-BoldMT" w:eastAsiaTheme="minorHAnsi" w:hAnsi="TimesNewRomanPS-BoldMT" w:cs="TimesNewRomanPS-BoldMT"/>
          <w:b/>
          <w:bCs/>
          <w:sz w:val="28"/>
          <w:szCs w:val="28"/>
          <w:lang w:eastAsia="en-US"/>
        </w:rPr>
      </w:pPr>
      <w:r>
        <w:rPr>
          <w:b/>
          <w:sz w:val="28"/>
          <w:szCs w:val="28"/>
        </w:rPr>
        <w:t xml:space="preserve">Dispens för körning på barmark </w:t>
      </w:r>
      <w:r w:rsidR="00511CBA">
        <w:rPr>
          <w:rFonts w:ascii="TimesNewRomanPS-BoldMT" w:eastAsiaTheme="minorHAnsi" w:hAnsi="TimesNewRomanPS-BoldMT" w:cs="TimesNewRomanPS-BoldMT"/>
          <w:b/>
          <w:bCs/>
          <w:sz w:val="28"/>
          <w:szCs w:val="28"/>
          <w:lang w:eastAsia="en-US"/>
        </w:rPr>
        <w:t xml:space="preserve">för att ordna </w:t>
      </w:r>
      <w:r w:rsidR="00511CBA" w:rsidRPr="00A2215E">
        <w:rPr>
          <w:rFonts w:ascii="TimesNewRomanPS-BoldMT" w:eastAsiaTheme="minorHAnsi" w:hAnsi="TimesNewRomanPS-BoldMT" w:cs="TimesNewRomanPS-BoldMT"/>
          <w:b/>
          <w:bCs/>
          <w:sz w:val="28"/>
          <w:szCs w:val="28"/>
          <w:highlight w:val="yellow"/>
          <w:lang w:eastAsia="en-US"/>
        </w:rPr>
        <w:t>motorcykel</w:t>
      </w:r>
      <w:r w:rsidR="00511CBA">
        <w:rPr>
          <w:rFonts w:ascii="TimesNewRomanPS-BoldMT" w:eastAsiaTheme="minorHAnsi" w:hAnsi="TimesNewRomanPS-BoldMT" w:cs="TimesNewRomanPS-BoldMT"/>
          <w:b/>
          <w:bCs/>
          <w:sz w:val="28"/>
          <w:szCs w:val="28"/>
          <w:lang w:eastAsia="en-US"/>
        </w:rPr>
        <w:t xml:space="preserve">tävling på fastigheten </w:t>
      </w:r>
      <w:r w:rsidR="00511CBA" w:rsidRPr="00E82BE4">
        <w:rPr>
          <w:b/>
          <w:sz w:val="28"/>
          <w:szCs w:val="28"/>
          <w:highlight w:val="yellow"/>
        </w:rPr>
        <w:t>XX</w:t>
      </w:r>
      <w:r>
        <w:rPr>
          <w:b/>
          <w:sz w:val="28"/>
          <w:szCs w:val="28"/>
        </w:rPr>
        <w:t xml:space="preserve">, </w:t>
      </w:r>
      <w:r w:rsidRPr="00E82BE4">
        <w:rPr>
          <w:b/>
          <w:sz w:val="28"/>
          <w:szCs w:val="28"/>
          <w:highlight w:val="yellow"/>
        </w:rPr>
        <w:t>XX</w:t>
      </w:r>
      <w:r>
        <w:rPr>
          <w:b/>
          <w:sz w:val="28"/>
          <w:szCs w:val="28"/>
        </w:rPr>
        <w:t xml:space="preserve"> kommun</w:t>
      </w:r>
    </w:p>
    <w:p w14:paraId="5582AA98" w14:textId="77777777" w:rsidR="00DB2F3A" w:rsidRDefault="00DB2F3A" w:rsidP="00DB2F3A">
      <w:pPr>
        <w:pStyle w:val="IngetavstndLST"/>
      </w:pPr>
    </w:p>
    <w:p w14:paraId="10D777E4" w14:textId="77777777" w:rsidR="00DB2F3A" w:rsidRDefault="00DB2F3A" w:rsidP="00DB2F3A">
      <w:pPr>
        <w:pStyle w:val="IngetavstndLST"/>
        <w:rPr>
          <w:b/>
        </w:rPr>
      </w:pPr>
      <w:r>
        <w:rPr>
          <w:b/>
        </w:rPr>
        <w:t>Beslut</w:t>
      </w:r>
    </w:p>
    <w:p w14:paraId="351F242B" w14:textId="3A7B21FC" w:rsidR="00DB2F3A" w:rsidRDefault="00DB2F3A" w:rsidP="00DB2F3A">
      <w:pPr>
        <w:pStyle w:val="IngetavstndLST"/>
      </w:pPr>
      <w:r>
        <w:t xml:space="preserve">Länsstyrelsen medger er dispens för körning på barmark i samband med </w:t>
      </w:r>
      <w:r w:rsidR="00511CBA">
        <w:t>motortävling</w:t>
      </w:r>
      <w:r w:rsidR="007F6085">
        <w:t>.</w:t>
      </w:r>
    </w:p>
    <w:p w14:paraId="06BB6442" w14:textId="77777777" w:rsidR="00DB2F3A" w:rsidRDefault="00DB2F3A" w:rsidP="00DB2F3A">
      <w:pPr>
        <w:pStyle w:val="IngetavstndLST"/>
      </w:pPr>
    </w:p>
    <w:p w14:paraId="0D111787" w14:textId="6A80EA4B" w:rsidR="00DB2F3A" w:rsidRDefault="00511CBA" w:rsidP="00511CBA">
      <w:pPr>
        <w:pStyle w:val="IngetavstndLST"/>
      </w:pPr>
      <w:r>
        <w:t xml:space="preserve">Dispens </w:t>
      </w:r>
      <w:r w:rsidR="00DB2F3A">
        <w:t xml:space="preserve">gäller </w:t>
      </w:r>
      <w:r w:rsidR="00DB2F3A">
        <w:rPr>
          <w:highlight w:val="yellow"/>
        </w:rPr>
        <w:t>Bolag</w:t>
      </w:r>
      <w:r w:rsidR="00DB2F3A" w:rsidRPr="00D15B1A">
        <w:rPr>
          <w:highlight w:val="yellow"/>
        </w:rPr>
        <w:t xml:space="preserve"> AB</w:t>
      </w:r>
      <w:r>
        <w:t>/</w:t>
      </w:r>
      <w:r w:rsidRPr="00511CBA">
        <w:rPr>
          <w:highlight w:val="yellow"/>
        </w:rPr>
        <w:t>Motorklubb</w:t>
      </w:r>
      <w:r w:rsidR="00DB2F3A">
        <w:t xml:space="preserve">, samt av bolaget anlitade entreprenörer enligt inkommen ansökan </w:t>
      </w:r>
      <w:r w:rsidR="00DB2F3A" w:rsidRPr="000F2A02">
        <w:rPr>
          <w:highlight w:val="yellow"/>
        </w:rPr>
        <w:t>och kompletteringar</w:t>
      </w:r>
      <w:r w:rsidR="00DB2F3A">
        <w:t xml:space="preserve">. </w:t>
      </w:r>
    </w:p>
    <w:p w14:paraId="63C055E1" w14:textId="77777777" w:rsidR="00DB2F3A" w:rsidRDefault="00DB2F3A" w:rsidP="00DB2F3A">
      <w:pPr>
        <w:pStyle w:val="IngetavstndLST"/>
        <w:jc w:val="both"/>
      </w:pPr>
    </w:p>
    <w:p w14:paraId="64AB8FA6" w14:textId="77777777" w:rsidR="000F2A02" w:rsidRDefault="000F2A02" w:rsidP="000F2A02">
      <w:pPr>
        <w:pStyle w:val="IngetavstndLST"/>
        <w:jc w:val="both"/>
      </w:pPr>
      <w:r>
        <w:t>Följande villkor gäller:</w:t>
      </w:r>
    </w:p>
    <w:p w14:paraId="24B2B743" w14:textId="77777777" w:rsidR="000F2A02" w:rsidRDefault="000F2A02" w:rsidP="000F2A02">
      <w:pPr>
        <w:pStyle w:val="IngetavstndLST"/>
        <w:numPr>
          <w:ilvl w:val="0"/>
          <w:numId w:val="3"/>
        </w:numPr>
        <w:jc w:val="both"/>
      </w:pPr>
      <w:r>
        <w:t>Arrangemanget ska ske i enlighet med ansökan och på den plats som anges i ansökan, se bilaga.</w:t>
      </w:r>
    </w:p>
    <w:p w14:paraId="772D44A7" w14:textId="2CA55E4B" w:rsidR="000F2A02" w:rsidRDefault="000F2A02" w:rsidP="000F2A02">
      <w:pPr>
        <w:pStyle w:val="IngetavstndLST"/>
        <w:numPr>
          <w:ilvl w:val="0"/>
          <w:numId w:val="3"/>
        </w:numPr>
        <w:jc w:val="both"/>
      </w:pPr>
      <w:r>
        <w:t xml:space="preserve">Beslutet gäller för tävlingen den </w:t>
      </w:r>
      <w:r w:rsidR="00CC3CD9" w:rsidRPr="00CC3CD9">
        <w:rPr>
          <w:highlight w:val="yellow"/>
        </w:rPr>
        <w:t>datum</w:t>
      </w:r>
      <w:r>
        <w:t xml:space="preserve"> samt för nödvändig körning vid förberedelser för tävlingen </w:t>
      </w:r>
      <w:r w:rsidR="00203F67">
        <w:t xml:space="preserve">mellan datum </w:t>
      </w:r>
      <w:r w:rsidR="00203F67" w:rsidRPr="00203F67">
        <w:rPr>
          <w:highlight w:val="yellow"/>
        </w:rPr>
        <w:t>XX</w:t>
      </w:r>
      <w:r w:rsidRPr="00203F67">
        <w:rPr>
          <w:highlight w:val="yellow"/>
        </w:rPr>
        <w:t>.</w:t>
      </w:r>
    </w:p>
    <w:p w14:paraId="1EAFA72B" w14:textId="77777777" w:rsidR="000F2A02" w:rsidRDefault="000F2A02" w:rsidP="000F2A02">
      <w:pPr>
        <w:pStyle w:val="IngetavstndLST"/>
        <w:numPr>
          <w:ilvl w:val="0"/>
          <w:numId w:val="3"/>
        </w:numPr>
        <w:jc w:val="both"/>
      </w:pPr>
      <w:r>
        <w:t xml:space="preserve">Vid all körning ska hänsyn tas till naturförhållanden, så att onödiga skador så långt som möjligt undviks. Körning ska bara ske </w:t>
      </w:r>
      <w:r w:rsidRPr="00A2215E">
        <w:rPr>
          <w:highlight w:val="yellow"/>
        </w:rPr>
        <w:t>på åkrar</w:t>
      </w:r>
      <w:r>
        <w:t>.</w:t>
      </w:r>
    </w:p>
    <w:p w14:paraId="4A5B0F66" w14:textId="77777777" w:rsidR="000F2A02" w:rsidRDefault="000F2A02" w:rsidP="000F2A02">
      <w:pPr>
        <w:pStyle w:val="IngetavstndLST"/>
        <w:numPr>
          <w:ilvl w:val="0"/>
          <w:numId w:val="3"/>
        </w:numPr>
        <w:jc w:val="both"/>
      </w:pPr>
      <w:r>
        <w:t>Markägarna ska ha gett tillstånd till tävlingen.</w:t>
      </w:r>
    </w:p>
    <w:p w14:paraId="226AABED" w14:textId="77777777" w:rsidR="00DB2F3A" w:rsidRDefault="000F2A02" w:rsidP="000F2A02">
      <w:pPr>
        <w:pStyle w:val="IngetavstndLST"/>
        <w:numPr>
          <w:ilvl w:val="0"/>
          <w:numId w:val="3"/>
        </w:numPr>
        <w:jc w:val="both"/>
      </w:pPr>
      <w:r>
        <w:t>Denna beslutshandling ska medföras vid all aktivitet i det område dispensen gäller och under hela dispensperioden.</w:t>
      </w:r>
    </w:p>
    <w:p w14:paraId="71525DD7" w14:textId="77777777" w:rsidR="000F2A02" w:rsidRPr="000F2A02" w:rsidRDefault="000F2A02" w:rsidP="000F2A02">
      <w:pPr>
        <w:pStyle w:val="IngetavstndLST"/>
        <w:ind w:left="720"/>
        <w:jc w:val="both"/>
      </w:pPr>
    </w:p>
    <w:p w14:paraId="7FE6EA87" w14:textId="77777777" w:rsidR="00DB2F3A" w:rsidRDefault="00DB2F3A" w:rsidP="00DB2F3A">
      <w:pPr>
        <w:pStyle w:val="IngetavstndLST"/>
        <w:jc w:val="both"/>
        <w:rPr>
          <w:b/>
        </w:rPr>
      </w:pPr>
      <w:r>
        <w:rPr>
          <w:b/>
        </w:rPr>
        <w:t>Redogörelse för ärendet</w:t>
      </w:r>
    </w:p>
    <w:p w14:paraId="58C02CC3" w14:textId="33709347" w:rsidR="00DB2F3A" w:rsidRDefault="00DB2F3A" w:rsidP="00DB2F3A">
      <w:pPr>
        <w:pStyle w:val="IngetavstndLST"/>
        <w:jc w:val="both"/>
      </w:pPr>
      <w:r>
        <w:rPr>
          <w:highlight w:val="yellow"/>
        </w:rPr>
        <w:t xml:space="preserve">Bolag </w:t>
      </w:r>
      <w:r w:rsidRPr="00E92FB5">
        <w:rPr>
          <w:highlight w:val="yellow"/>
        </w:rPr>
        <w:t>AB</w:t>
      </w:r>
      <w:r w:rsidR="000F2A02">
        <w:t>/</w:t>
      </w:r>
      <w:r w:rsidR="000F2A02" w:rsidRPr="000F2A02">
        <w:rPr>
          <w:highlight w:val="yellow"/>
        </w:rPr>
        <w:t>Motorförening</w:t>
      </w:r>
      <w:r>
        <w:t xml:space="preserve"> har den </w:t>
      </w:r>
      <w:r w:rsidR="00767F20" w:rsidRPr="00767F20">
        <w:rPr>
          <w:highlight w:val="yellow"/>
        </w:rPr>
        <w:t>datum</w:t>
      </w:r>
      <w:r>
        <w:t xml:space="preserve"> inkommit med ansökan om dispens</w:t>
      </w:r>
      <w:r w:rsidR="000F2A02">
        <w:t xml:space="preserve"> och tillstånd</w:t>
      </w:r>
      <w:r>
        <w:t xml:space="preserve"> från terrängkörningslagen </w:t>
      </w:r>
      <w:r w:rsidR="000F2A02">
        <w:t xml:space="preserve">och </w:t>
      </w:r>
      <w:r w:rsidR="000F2A02" w:rsidRPr="000F2A02">
        <w:t xml:space="preserve">ordningslagen </w:t>
      </w:r>
      <w:r>
        <w:t xml:space="preserve">för att i samband med </w:t>
      </w:r>
      <w:r w:rsidR="000F2A02" w:rsidRPr="000F2A02">
        <w:rPr>
          <w:highlight w:val="yellow"/>
        </w:rPr>
        <w:t>moto</w:t>
      </w:r>
      <w:r w:rsidR="00203F67">
        <w:rPr>
          <w:highlight w:val="yellow"/>
        </w:rPr>
        <w:t>r</w:t>
      </w:r>
      <w:r w:rsidR="000F2A02" w:rsidRPr="000F2A02">
        <w:rPr>
          <w:highlight w:val="yellow"/>
        </w:rPr>
        <w:t>tävling dag, hur många ska vara med etc</w:t>
      </w:r>
      <w:r>
        <w:t xml:space="preserve"> köra med motordrivet fordon i terräng på barmark. Området som ansökan avser ligger omkring </w:t>
      </w:r>
      <w:r>
        <w:rPr>
          <w:highlight w:val="yellow"/>
        </w:rPr>
        <w:t>plats</w:t>
      </w:r>
      <w:r w:rsidRPr="00E92FB5">
        <w:rPr>
          <w:highlight w:val="yellow"/>
        </w:rPr>
        <w:t xml:space="preserve">, </w:t>
      </w:r>
      <w:r w:rsidRPr="00DB2F3A">
        <w:rPr>
          <w:highlight w:val="yellow"/>
        </w:rPr>
        <w:t>i namn</w:t>
      </w:r>
      <w:r>
        <w:t xml:space="preserve"> kommun. </w:t>
      </w:r>
    </w:p>
    <w:p w14:paraId="5F820815" w14:textId="77777777" w:rsidR="00DB2F3A" w:rsidRDefault="00DB2F3A" w:rsidP="00DB2F3A">
      <w:pPr>
        <w:pStyle w:val="IngetavstndLST"/>
        <w:jc w:val="both"/>
      </w:pPr>
    </w:p>
    <w:p w14:paraId="1A7D0644" w14:textId="77777777" w:rsidR="000F2A02" w:rsidRPr="000F2A02" w:rsidRDefault="000F2A02" w:rsidP="00DB2F3A">
      <w:pPr>
        <w:pStyle w:val="IngetavstndLST"/>
        <w:jc w:val="both"/>
        <w:rPr>
          <w:b/>
        </w:rPr>
      </w:pPr>
      <w:r>
        <w:rPr>
          <w:b/>
        </w:rPr>
        <w:t>Bestämmelser som beslutet grundar sig på</w:t>
      </w:r>
    </w:p>
    <w:p w14:paraId="4966231D" w14:textId="77777777" w:rsidR="000F2A02" w:rsidRDefault="000F2A02" w:rsidP="000F2A02">
      <w:pPr>
        <w:pStyle w:val="IngetavstndLST"/>
        <w:jc w:val="both"/>
      </w:pPr>
      <w:r>
        <w:t>Enligt 1 § terrängkörningslagen är körning i terräng med motordrivet fordon för annat</w:t>
      </w:r>
    </w:p>
    <w:p w14:paraId="6E5DE327" w14:textId="77777777" w:rsidR="000F2A02" w:rsidRDefault="000F2A02" w:rsidP="000F2A02">
      <w:pPr>
        <w:pStyle w:val="IngetavstndLST"/>
        <w:jc w:val="both"/>
      </w:pPr>
      <w:r>
        <w:t>ändamål än jordbruk eller skogsbruk förbjuden i hela landet på barmark.</w:t>
      </w:r>
    </w:p>
    <w:p w14:paraId="22E04448" w14:textId="77777777" w:rsidR="000F2A02" w:rsidRDefault="000F2A02" w:rsidP="000F2A02">
      <w:pPr>
        <w:pStyle w:val="IngetavstndLST"/>
        <w:jc w:val="both"/>
      </w:pPr>
      <w:r>
        <w:t>Länsstyrelsen får enligt 12 § terrängkörningsförordningen besluta om undantag från</w:t>
      </w:r>
    </w:p>
    <w:p w14:paraId="10A85467" w14:textId="77777777" w:rsidR="000F2A02" w:rsidRDefault="000F2A02" w:rsidP="000F2A02">
      <w:pPr>
        <w:pStyle w:val="IngetavstndLST"/>
        <w:jc w:val="both"/>
      </w:pPr>
      <w:r>
        <w:t>bestämmelserna i 1 § terrängkörningslagen (1975:1313) i enskilda fall, om det finns</w:t>
      </w:r>
    </w:p>
    <w:p w14:paraId="24BAA985" w14:textId="77777777" w:rsidR="000F2A02" w:rsidRDefault="000F2A02" w:rsidP="000F2A02">
      <w:pPr>
        <w:pStyle w:val="IngetavstndLST"/>
        <w:jc w:val="both"/>
      </w:pPr>
      <w:r>
        <w:t>särskilda skäl för det.</w:t>
      </w:r>
    </w:p>
    <w:p w14:paraId="28060C57" w14:textId="77777777" w:rsidR="000F2A02" w:rsidRDefault="000F2A02" w:rsidP="000F2A02">
      <w:pPr>
        <w:pStyle w:val="IngetavstndLST"/>
        <w:jc w:val="both"/>
      </w:pPr>
    </w:p>
    <w:p w14:paraId="7D3ACFC1" w14:textId="77777777" w:rsidR="000F2A02" w:rsidRDefault="000F2A02" w:rsidP="000F2A02">
      <w:pPr>
        <w:pStyle w:val="IngetavstndLST"/>
        <w:jc w:val="both"/>
      </w:pPr>
      <w:r>
        <w:t>Enligt 13 § terrängkörningsförordningen är den som meddelats dispens med stöd av 1 §</w:t>
      </w:r>
    </w:p>
    <w:p w14:paraId="54410889" w14:textId="77777777" w:rsidR="000F2A02" w:rsidRDefault="000F2A02" w:rsidP="000F2A02">
      <w:pPr>
        <w:pStyle w:val="IngetavstndLST"/>
        <w:jc w:val="both"/>
      </w:pPr>
      <w:r>
        <w:t>andra stycket terrängkörningslagen skyldig att inom det område dispensen gäller kunna</w:t>
      </w:r>
    </w:p>
    <w:p w14:paraId="5DF15F7C" w14:textId="4548B5D3" w:rsidR="00DB2F3A" w:rsidRDefault="000F2A02" w:rsidP="000F2A02">
      <w:pPr>
        <w:pStyle w:val="IngetavstndLST"/>
        <w:jc w:val="both"/>
      </w:pPr>
      <w:r>
        <w:t>visa upp beslutet för naturvårdsvakt eller polis.</w:t>
      </w:r>
    </w:p>
    <w:p w14:paraId="0FE91195" w14:textId="77777777" w:rsidR="000F2A02" w:rsidRDefault="000F2A02" w:rsidP="00DB2F3A">
      <w:pPr>
        <w:pStyle w:val="IngetavstndLST"/>
        <w:jc w:val="both"/>
        <w:rPr>
          <w:b/>
        </w:rPr>
      </w:pPr>
    </w:p>
    <w:p w14:paraId="7B544C6E" w14:textId="77777777" w:rsidR="00DB2F3A" w:rsidRDefault="00DB2F3A" w:rsidP="00DB2F3A">
      <w:pPr>
        <w:pStyle w:val="IngetavstndLST"/>
        <w:jc w:val="both"/>
        <w:rPr>
          <w:b/>
        </w:rPr>
      </w:pPr>
      <w:r>
        <w:rPr>
          <w:b/>
        </w:rPr>
        <w:t>Motivering</w:t>
      </w:r>
    </w:p>
    <w:p w14:paraId="411FC52E" w14:textId="77777777" w:rsidR="00A2215E" w:rsidRDefault="00A2215E" w:rsidP="00A2215E">
      <w:pPr>
        <w:autoSpaceDE w:val="0"/>
        <w:autoSpaceDN w:val="0"/>
        <w:adjustRightInd w:val="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Länsstyrelsen bedömer att det i detta fall finns särskilda skäl och att dispens därför kan</w:t>
      </w:r>
    </w:p>
    <w:p w14:paraId="7ADC4C2D" w14:textId="54E7BDB7" w:rsidR="00A2215E" w:rsidRDefault="00A2215E" w:rsidP="00A2215E">
      <w:pPr>
        <w:autoSpaceDE w:val="0"/>
        <w:autoSpaceDN w:val="0"/>
        <w:adjustRightInd w:val="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 xml:space="preserve">meddelas. </w:t>
      </w:r>
    </w:p>
    <w:p w14:paraId="5965F95C" w14:textId="77777777" w:rsidR="00A2215E" w:rsidRDefault="00A2215E" w:rsidP="00A2215E">
      <w:pPr>
        <w:autoSpaceDE w:val="0"/>
        <w:autoSpaceDN w:val="0"/>
        <w:adjustRightInd w:val="0"/>
      </w:pPr>
    </w:p>
    <w:p w14:paraId="7F52F6A0" w14:textId="522C2CC8" w:rsidR="00A2215E" w:rsidRDefault="00A2215E" w:rsidP="00A2215E">
      <w:pPr>
        <w:autoSpaceDE w:val="0"/>
        <w:autoSpaceDN w:val="0"/>
        <w:adjustRightInd w:val="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I detta fall finns följande skäl:</w:t>
      </w:r>
    </w:p>
    <w:p w14:paraId="03BEE4E7" w14:textId="77777777" w:rsidR="00A2215E" w:rsidRPr="00A2215E" w:rsidRDefault="00A2215E" w:rsidP="00A2215E">
      <w:pPr>
        <w:pStyle w:val="Liststycke"/>
        <w:numPr>
          <w:ilvl w:val="0"/>
          <w:numId w:val="4"/>
        </w:numPr>
        <w:autoSpaceDE w:val="0"/>
        <w:autoSpaceDN w:val="0"/>
        <w:adjustRightInd w:val="0"/>
        <w:rPr>
          <w:rFonts w:ascii="TimesNewRomanPSMT" w:eastAsiaTheme="minorHAnsi" w:hAnsi="TimesNewRomanPSMT" w:cs="TimesNewRomanPSMT"/>
          <w:szCs w:val="24"/>
          <w:highlight w:val="yellow"/>
          <w:lang w:eastAsia="en-US"/>
        </w:rPr>
      </w:pPr>
    </w:p>
    <w:p w14:paraId="17E4D2CF" w14:textId="77777777" w:rsidR="000F2A02" w:rsidRDefault="000F2A02" w:rsidP="000F2A02">
      <w:pPr>
        <w:autoSpaceDE w:val="0"/>
        <w:autoSpaceDN w:val="0"/>
        <w:adjustRightInd w:val="0"/>
        <w:rPr>
          <w:rFonts w:ascii="TimesNewRomanPSMT" w:eastAsiaTheme="minorHAnsi" w:hAnsi="TimesNewRomanPSMT" w:cs="TimesNewRomanPSMT"/>
          <w:szCs w:val="24"/>
          <w:lang w:eastAsia="en-US"/>
        </w:rPr>
      </w:pPr>
    </w:p>
    <w:p w14:paraId="61641CB3" w14:textId="77777777" w:rsidR="000F2A02" w:rsidRDefault="000F2A02" w:rsidP="00DB2F3A">
      <w:pPr>
        <w:pStyle w:val="IngetavstndLST"/>
        <w:jc w:val="both"/>
        <w:rPr>
          <w:b/>
        </w:rPr>
      </w:pPr>
    </w:p>
    <w:p w14:paraId="28D2F33D" w14:textId="77777777" w:rsidR="00BE52B7" w:rsidRDefault="00BE52B7" w:rsidP="00DB2F3A">
      <w:pPr>
        <w:pStyle w:val="IngetavstndLST"/>
        <w:jc w:val="both"/>
        <w:rPr>
          <w:b/>
        </w:rPr>
      </w:pPr>
    </w:p>
    <w:p w14:paraId="58ADF809" w14:textId="4D9193DF" w:rsidR="00DB2F3A" w:rsidRDefault="00DB2F3A" w:rsidP="00DB2F3A">
      <w:pPr>
        <w:pStyle w:val="IngetavstndLST"/>
        <w:jc w:val="both"/>
        <w:rPr>
          <w:b/>
        </w:rPr>
      </w:pPr>
      <w:r>
        <w:rPr>
          <w:b/>
        </w:rPr>
        <w:t>Länsstyrelsens upplysning</w:t>
      </w:r>
    </w:p>
    <w:p w14:paraId="25115886" w14:textId="77777777" w:rsidR="000F2A02" w:rsidRDefault="000F2A02" w:rsidP="00DB2F3A">
      <w:pPr>
        <w:pStyle w:val="IngetavstndLST"/>
        <w:jc w:val="both"/>
      </w:pPr>
    </w:p>
    <w:p w14:paraId="257DCBB2" w14:textId="2A989AF2" w:rsidR="004B634A" w:rsidRDefault="004B634A" w:rsidP="00DB2F3A">
      <w:pPr>
        <w:pStyle w:val="IngetavstndLST"/>
        <w:jc w:val="both"/>
      </w:pPr>
      <w:r w:rsidRPr="004B634A">
        <w:rPr>
          <w:highlight w:val="yellow"/>
        </w:rPr>
        <w:t>Parkering, finns undantag i länet/kommunen</w:t>
      </w:r>
      <w:r w:rsidR="00A2215E">
        <w:t>?</w:t>
      </w:r>
    </w:p>
    <w:p w14:paraId="65FC3C49" w14:textId="77777777" w:rsidR="004B634A" w:rsidRDefault="004B634A" w:rsidP="00DB2F3A">
      <w:pPr>
        <w:pStyle w:val="IngetavstndLST"/>
        <w:jc w:val="both"/>
      </w:pPr>
    </w:p>
    <w:p w14:paraId="23E5B79D" w14:textId="2F3ADFCA" w:rsidR="00A2215E" w:rsidRPr="00A2215E" w:rsidRDefault="00A2215E" w:rsidP="00A2215E">
      <w:pPr>
        <w:pStyle w:val="IngetavstndLST"/>
      </w:pPr>
      <w:r>
        <w:rPr>
          <w:sz w:val="19"/>
          <w:szCs w:val="19"/>
        </w:rPr>
        <w:t> </w:t>
      </w:r>
      <w:r w:rsidRPr="00A2215E">
        <w:t> </w:t>
      </w:r>
    </w:p>
    <w:p w14:paraId="6AB3A197" w14:textId="77777777" w:rsidR="00A2215E" w:rsidRDefault="00A2215E" w:rsidP="00A2215E">
      <w:pPr>
        <w:autoSpaceDE w:val="0"/>
        <w:autoSpaceDN w:val="0"/>
        <w:spacing w:before="40" w:after="40"/>
      </w:pPr>
      <w:r>
        <w:rPr>
          <w:szCs w:val="24"/>
        </w:rPr>
        <w:t>Ni som gör en åtgärd måste alltid skaffa er den kunskap som behövs. Ni måste även visa sådan hänsyn att skador och olägenheter inte uppkommer för människors hälsa eller miljön (2 kap. miljöbalken).</w:t>
      </w:r>
      <w:r>
        <w:rPr>
          <w:rFonts w:ascii="Segoe UI" w:hAnsi="Segoe UI" w:cs="Segoe UI"/>
          <w:color w:val="000000"/>
          <w:sz w:val="20"/>
        </w:rPr>
        <w:t xml:space="preserve"> </w:t>
      </w:r>
    </w:p>
    <w:p w14:paraId="084B0C4E" w14:textId="77777777" w:rsidR="00A2215E" w:rsidRDefault="00A2215E" w:rsidP="00A2215E">
      <w:pPr>
        <w:autoSpaceDE w:val="0"/>
        <w:autoSpaceDN w:val="0"/>
      </w:pPr>
      <w:r>
        <w:rPr>
          <w:rFonts w:ascii="Segoe UI" w:hAnsi="Segoe UI" w:cs="Segoe UI"/>
          <w:color w:val="4E586A"/>
          <w:sz w:val="16"/>
          <w:szCs w:val="16"/>
        </w:rPr>
        <w:t> </w:t>
      </w:r>
    </w:p>
    <w:p w14:paraId="0CA17B9C" w14:textId="77777777" w:rsidR="00DB2F3A" w:rsidRDefault="00DB2F3A" w:rsidP="00DB2F3A">
      <w:pPr>
        <w:tabs>
          <w:tab w:val="left" w:pos="3402"/>
        </w:tabs>
      </w:pPr>
    </w:p>
    <w:p w14:paraId="2A0FD62E" w14:textId="7E83C7F5" w:rsidR="00DB2F3A" w:rsidRDefault="00DB2F3A" w:rsidP="00DB2F3A">
      <w:pPr>
        <w:pStyle w:val="Sidfot"/>
        <w:tabs>
          <w:tab w:val="clear" w:pos="4819"/>
          <w:tab w:val="clear" w:pos="9071"/>
        </w:tabs>
      </w:pPr>
      <w:r w:rsidRPr="003B4DF1">
        <w:t xml:space="preserve">Länsstyrelsen </w:t>
      </w:r>
      <w:r w:rsidR="00A2215E">
        <w:t>uppmärksammar er</w:t>
      </w:r>
      <w:r w:rsidRPr="003B4DF1">
        <w:t xml:space="preserve"> om att detta beslut inte befriar från skyldigheten att iaktta vad som föreskrivs i andra lagar och författningar.  </w:t>
      </w:r>
    </w:p>
    <w:p w14:paraId="6C42DA79" w14:textId="4872F08A" w:rsidR="00A2215E" w:rsidRDefault="00A2215E" w:rsidP="00A2215E">
      <w:pPr>
        <w:autoSpaceDE w:val="0"/>
        <w:autoSpaceDN w:val="0"/>
        <w:rPr>
          <w:sz w:val="22"/>
        </w:rPr>
      </w:pPr>
      <w:r>
        <w:rPr>
          <w:rFonts w:ascii="Arial" w:hAnsi="Arial" w:cs="Arial"/>
          <w:sz w:val="20"/>
        </w:rPr>
        <w:t xml:space="preserve"> </w:t>
      </w:r>
    </w:p>
    <w:p w14:paraId="5BC44ADE" w14:textId="77777777" w:rsidR="00A2215E" w:rsidRDefault="00A2215E" w:rsidP="00A2215E">
      <w:pPr>
        <w:autoSpaceDE w:val="0"/>
        <w:autoSpaceDN w:val="0"/>
        <w:spacing w:before="40" w:after="40"/>
      </w:pPr>
      <w:r>
        <w:rPr>
          <w:szCs w:val="24"/>
        </w:rPr>
        <w:t>Länsstyrelsen förutsätter att ni har fått medgivande från de markägare och andra nyttjanderättshavare som kan beröras av åtgärderna. Länsstyrelsens beslut ger inte tillträde till marken utan markägarens tillstånd. </w:t>
      </w:r>
      <w:r>
        <w:rPr>
          <w:rFonts w:ascii="Segoe UI" w:hAnsi="Segoe UI" w:cs="Segoe UI"/>
          <w:color w:val="000000"/>
          <w:sz w:val="20"/>
        </w:rPr>
        <w:t xml:space="preserve"> </w:t>
      </w:r>
    </w:p>
    <w:p w14:paraId="14790AAE" w14:textId="77777777" w:rsidR="00A2215E" w:rsidRDefault="00A2215E" w:rsidP="00A2215E">
      <w:pPr>
        <w:autoSpaceDE w:val="0"/>
        <w:autoSpaceDN w:val="0"/>
      </w:pPr>
      <w:r>
        <w:rPr>
          <w:rFonts w:ascii="Segoe UI" w:hAnsi="Segoe UI" w:cs="Segoe UI"/>
          <w:color w:val="4E586A"/>
          <w:sz w:val="16"/>
          <w:szCs w:val="16"/>
        </w:rPr>
        <w:t> </w:t>
      </w:r>
    </w:p>
    <w:p w14:paraId="2603E52D" w14:textId="7710FC17" w:rsidR="00BE52B7" w:rsidRDefault="00A2215E" w:rsidP="00A2215E">
      <w:pPr>
        <w:autoSpaceDE w:val="0"/>
        <w:autoSpaceDN w:val="0"/>
      </w:pPr>
      <w:r>
        <w:rPr>
          <w:sz w:val="19"/>
          <w:szCs w:val="19"/>
        </w:rPr>
        <w:t> </w:t>
      </w:r>
    </w:p>
    <w:p w14:paraId="7B08AEC1" w14:textId="77777777" w:rsidR="00BE52B7" w:rsidRDefault="00BE52B7" w:rsidP="00BE52B7">
      <w:pPr>
        <w:pStyle w:val="IngetavstndLST"/>
        <w:jc w:val="both"/>
      </w:pPr>
      <w:r>
        <w:t>Allmänheten och boende i området ska i god tid underrättas om arrangemangen, t.ex. genom annons i lokaltidning.</w:t>
      </w:r>
    </w:p>
    <w:p w14:paraId="42A25245" w14:textId="77777777" w:rsidR="00BE52B7" w:rsidRDefault="00BE52B7" w:rsidP="00BE52B7">
      <w:pPr>
        <w:pStyle w:val="IngetavstndLST"/>
        <w:jc w:val="both"/>
      </w:pPr>
    </w:p>
    <w:p w14:paraId="31E0C41B" w14:textId="77777777" w:rsidR="00BE52B7" w:rsidRDefault="00BE52B7" w:rsidP="00BE52B7">
      <w:pPr>
        <w:pStyle w:val="IngetavstndLST"/>
        <w:jc w:val="both"/>
      </w:pPr>
      <w:r>
        <w:t>Beredskap ska finnas för omhändertagande av eventuellt olje- eller bensinspill.</w:t>
      </w:r>
    </w:p>
    <w:p w14:paraId="68A39EA8" w14:textId="77777777" w:rsidR="00BE52B7" w:rsidRDefault="00BE52B7" w:rsidP="00BE52B7">
      <w:pPr>
        <w:pStyle w:val="IngetavstndLST"/>
        <w:jc w:val="both"/>
      </w:pPr>
    </w:p>
    <w:p w14:paraId="1597BA75" w14:textId="2931CDC5" w:rsidR="00BE52B7" w:rsidRDefault="00BE52B7" w:rsidP="00BE52B7">
      <w:pPr>
        <w:pStyle w:val="IngetavstndLST"/>
        <w:jc w:val="both"/>
      </w:pPr>
      <w:r>
        <w:t>Eventuell nedskräpning i samband med arrangemanget ska åtgärdas.</w:t>
      </w:r>
    </w:p>
    <w:p w14:paraId="6F647C36" w14:textId="77777777" w:rsidR="00203F67" w:rsidRDefault="00203F67" w:rsidP="00203F67">
      <w:pPr>
        <w:pStyle w:val="IngetavstndLST"/>
        <w:jc w:val="both"/>
      </w:pPr>
    </w:p>
    <w:p w14:paraId="68C3C10C" w14:textId="4BEA1CED" w:rsidR="00203F67" w:rsidRDefault="00203F67" w:rsidP="00203F67">
      <w:pPr>
        <w:pStyle w:val="IngetavstndLST"/>
        <w:jc w:val="both"/>
      </w:pPr>
      <w:r>
        <w:t>Rikspolisstyrelsens föreskrifter om motorsport i terräng ska följas (RPS FS xxx:xx FAP xxx-x).</w:t>
      </w:r>
    </w:p>
    <w:p w14:paraId="2644240A" w14:textId="77777777" w:rsidR="00203F67" w:rsidRDefault="00203F67" w:rsidP="00BE52B7">
      <w:pPr>
        <w:pStyle w:val="IngetavstndLST"/>
        <w:jc w:val="both"/>
      </w:pPr>
    </w:p>
    <w:p w14:paraId="5EFB4ED8" w14:textId="77777777" w:rsidR="00DB2F3A" w:rsidRDefault="00DB2F3A" w:rsidP="00DB2F3A">
      <w:pPr>
        <w:tabs>
          <w:tab w:val="left" w:pos="5670"/>
          <w:tab w:val="left" w:pos="7939"/>
          <w:tab w:val="left" w:pos="9639"/>
        </w:tabs>
        <w:rPr>
          <w:i/>
        </w:rPr>
      </w:pPr>
    </w:p>
    <w:p w14:paraId="6A0C9A72" w14:textId="77777777" w:rsidR="00DB2F3A" w:rsidRPr="00DB2F3A" w:rsidRDefault="00DB2F3A" w:rsidP="00DB2F3A">
      <w:pPr>
        <w:tabs>
          <w:tab w:val="left" w:pos="5670"/>
          <w:tab w:val="left" w:pos="7939"/>
          <w:tab w:val="left" w:pos="9639"/>
        </w:tabs>
        <w:rPr>
          <w:i/>
          <w:highlight w:val="yellow"/>
        </w:rPr>
      </w:pPr>
      <w:r w:rsidRPr="00DB2F3A">
        <w:rPr>
          <w:i/>
          <w:highlight w:val="yellow"/>
        </w:rPr>
        <w:t xml:space="preserve">Renskötseln </w:t>
      </w:r>
    </w:p>
    <w:p w14:paraId="008DE96D" w14:textId="77777777" w:rsidR="00DB2F3A" w:rsidRDefault="00DB2F3A" w:rsidP="00DB2F3A">
      <w:pPr>
        <w:tabs>
          <w:tab w:val="left" w:pos="5670"/>
          <w:tab w:val="left" w:pos="7939"/>
          <w:tab w:val="left" w:pos="9639"/>
        </w:tabs>
      </w:pPr>
      <w:r w:rsidRPr="00DB2F3A">
        <w:rPr>
          <w:highlight w:val="yellow"/>
        </w:rPr>
        <w:t>Enligt 94 § Rennäringslagen (1971:437) kan den som med uppsåt eller av oaktsamhet</w:t>
      </w:r>
      <w:bookmarkStart w:id="1" w:name="P94S1N1"/>
      <w:bookmarkEnd w:id="1"/>
      <w:r w:rsidRPr="00DB2F3A">
        <w:rPr>
          <w:highlight w:val="yellow"/>
        </w:rPr>
        <w:t xml:space="preserve"> stänger av flyttningsväg för renar eller vidtar åtgärder så att vägens framkomlighet väsentligt försämras, </w:t>
      </w:r>
      <w:bookmarkStart w:id="2" w:name="P94S1N2"/>
      <w:bookmarkEnd w:id="2"/>
      <w:r w:rsidRPr="00DB2F3A">
        <w:rPr>
          <w:highlight w:val="yellow"/>
        </w:rPr>
        <w:t xml:space="preserve">skrämmer eller på annat sätt ofredar renar, </w:t>
      </w:r>
      <w:bookmarkStart w:id="3" w:name="P94S1N3"/>
      <w:bookmarkEnd w:id="3"/>
      <w:r w:rsidRPr="00DB2F3A">
        <w:rPr>
          <w:highlight w:val="yellow"/>
        </w:rPr>
        <w:t>obehörigen driver bort renar eller hindrar renar från att beta i ett område där renskötsel är tillåten dömas till böter.</w:t>
      </w:r>
    </w:p>
    <w:p w14:paraId="5F409E30" w14:textId="77777777" w:rsidR="00DB2F3A" w:rsidRDefault="00DB2F3A" w:rsidP="00DB2F3A">
      <w:pPr>
        <w:tabs>
          <w:tab w:val="left" w:pos="5670"/>
          <w:tab w:val="left" w:pos="7939"/>
          <w:tab w:val="left" w:pos="9639"/>
        </w:tabs>
      </w:pPr>
    </w:p>
    <w:p w14:paraId="4D017BFE" w14:textId="77777777" w:rsidR="00DB2F3A" w:rsidRPr="00A2215E" w:rsidRDefault="00DB2F3A" w:rsidP="00DB2F3A">
      <w:pPr>
        <w:tabs>
          <w:tab w:val="left" w:pos="5670"/>
          <w:tab w:val="left" w:pos="7939"/>
          <w:tab w:val="left" w:pos="9639"/>
        </w:tabs>
        <w:rPr>
          <w:i/>
          <w:highlight w:val="yellow"/>
        </w:rPr>
      </w:pPr>
      <w:r w:rsidRPr="00A2215E">
        <w:rPr>
          <w:i/>
          <w:highlight w:val="yellow"/>
        </w:rPr>
        <w:t xml:space="preserve">Fornlämningar </w:t>
      </w:r>
    </w:p>
    <w:p w14:paraId="5EE5801B" w14:textId="77777777" w:rsidR="00A2215E" w:rsidRDefault="00DB2F3A" w:rsidP="00DB2F3A">
      <w:pPr>
        <w:tabs>
          <w:tab w:val="left" w:pos="3402"/>
        </w:tabs>
        <w:rPr>
          <w:highlight w:val="yellow"/>
        </w:rPr>
      </w:pPr>
      <w:r w:rsidRPr="00A2215E">
        <w:rPr>
          <w:highlight w:val="yellow"/>
        </w:rPr>
        <w:t>Fornlämningar är skyd</w:t>
      </w:r>
      <w:r w:rsidRPr="00A2215E">
        <w:rPr>
          <w:highlight w:val="yellow"/>
        </w:rPr>
        <w:softHyphen/>
        <w:t>dade enligt kulturmiljölagen (KML, SFS 1988:950) 2 kap. Verksamhetsutövare har enl. 2 kap. 10 § skyldighet att ta reda på om fast fornlämning berörs av verksamheten och att då samråda med Länsstyrelsen. Alla fornlämningar är lagskyddade, därför vill vi även göra verksamhetsutövaren uppmärksam på att enligt 10 § ska ett arbete omedelbart avbrytas och Läns</w:t>
      </w:r>
      <w:r w:rsidRPr="00A2215E">
        <w:rPr>
          <w:highlight w:val="yellow"/>
        </w:rPr>
        <w:softHyphen/>
        <w:t>styrel</w:t>
      </w:r>
      <w:r w:rsidRPr="00A2215E">
        <w:rPr>
          <w:highlight w:val="yellow"/>
        </w:rPr>
        <w:softHyphen/>
        <w:t>sen kontaktas om en okänd fornlämning på</w:t>
      </w:r>
      <w:r w:rsidRPr="00A2215E">
        <w:rPr>
          <w:highlight w:val="yellow"/>
        </w:rPr>
        <w:softHyphen/>
        <w:t xml:space="preserve">träffas under arbetets gång. </w:t>
      </w:r>
    </w:p>
    <w:p w14:paraId="4DC407F9" w14:textId="77777777" w:rsidR="00A2215E" w:rsidRDefault="00A2215E" w:rsidP="00DB2F3A">
      <w:pPr>
        <w:tabs>
          <w:tab w:val="left" w:pos="3402"/>
        </w:tabs>
        <w:rPr>
          <w:highlight w:val="yellow"/>
        </w:rPr>
      </w:pPr>
    </w:p>
    <w:p w14:paraId="4CFE9B6F" w14:textId="7626E8F5" w:rsidR="00DB2F3A" w:rsidRDefault="00DB2F3A" w:rsidP="00DB2F3A">
      <w:pPr>
        <w:tabs>
          <w:tab w:val="left" w:pos="3402"/>
        </w:tabs>
      </w:pPr>
      <w:r w:rsidRPr="00A2215E">
        <w:rPr>
          <w:highlight w:val="yellow"/>
        </w:rPr>
        <w:t>Till varje forn</w:t>
      </w:r>
      <w:r w:rsidRPr="00A2215E">
        <w:rPr>
          <w:highlight w:val="yellow"/>
        </w:rPr>
        <w:softHyphen/>
        <w:t>lämning hör ett fornlämningsområde som också är skyddat i lag. Fornlämningarnas skydds</w:t>
      </w:r>
      <w:r w:rsidRPr="00A2215E">
        <w:rPr>
          <w:highlight w:val="yellow"/>
        </w:rPr>
        <w:softHyphen/>
        <w:t>område är inte utsatt på kartan vilket är viktigt att komma ihåg. Därför ska sökande sam</w:t>
      </w:r>
      <w:r w:rsidRPr="00A2215E">
        <w:rPr>
          <w:highlight w:val="yellow"/>
        </w:rPr>
        <w:softHyphen/>
        <w:t>råda med Länsstyrelsens kul</w:t>
      </w:r>
      <w:r w:rsidRPr="00A2215E">
        <w:rPr>
          <w:highlight w:val="yellow"/>
        </w:rPr>
        <w:softHyphen/>
        <w:t>turmiljöen</w:t>
      </w:r>
      <w:r w:rsidRPr="00A2215E">
        <w:rPr>
          <w:highlight w:val="yellow"/>
        </w:rPr>
        <w:softHyphen/>
        <w:t xml:space="preserve">het om de planerar en verksamhet närmare än </w:t>
      </w:r>
      <w:smartTag w:uri="urn:schemas-microsoft-com:office:smarttags" w:element="metricconverter">
        <w:smartTagPr>
          <w:attr w:name="ProductID" w:val="150 meter"/>
        </w:smartTagPr>
        <w:r w:rsidRPr="00A2215E">
          <w:rPr>
            <w:highlight w:val="yellow"/>
          </w:rPr>
          <w:t>150 meter</w:t>
        </w:r>
      </w:smartTag>
      <w:r w:rsidRPr="00A2215E">
        <w:rPr>
          <w:highlight w:val="yellow"/>
        </w:rPr>
        <w:t xml:space="preserve"> från en forn- eller kul</w:t>
      </w:r>
      <w:r w:rsidRPr="00A2215E">
        <w:rPr>
          <w:highlight w:val="yellow"/>
        </w:rPr>
        <w:softHyphen/>
        <w:t>turläm</w:t>
      </w:r>
      <w:r w:rsidRPr="00A2215E">
        <w:rPr>
          <w:highlight w:val="yellow"/>
        </w:rPr>
        <w:softHyphen/>
        <w:t>ning. Information om forn- och kulturlämningar finns åtkomligt via på Riksantikvarieäm</w:t>
      </w:r>
      <w:r w:rsidRPr="00A2215E">
        <w:rPr>
          <w:highlight w:val="yellow"/>
        </w:rPr>
        <w:softHyphen/>
        <w:t xml:space="preserve">betets hemsida (FMIS) </w:t>
      </w:r>
      <w:hyperlink r:id="rId10" w:tooltip="http://www.fmis.raa.se/cocoon/fornsok/search.html" w:history="1">
        <w:r w:rsidRPr="00A2215E">
          <w:rPr>
            <w:rStyle w:val="Hyperlnk"/>
            <w:highlight w:val="yellow"/>
          </w:rPr>
          <w:t>http://www.fmis.raa.se/cocoon/fornsok/search.html</w:t>
        </w:r>
      </w:hyperlink>
      <w:r>
        <w:t xml:space="preserve"> </w:t>
      </w:r>
    </w:p>
    <w:p w14:paraId="5E9DDB32" w14:textId="77777777" w:rsidR="00DB2F3A" w:rsidRDefault="00DB2F3A" w:rsidP="00DB2F3A">
      <w:pPr>
        <w:pStyle w:val="Brdtext21"/>
      </w:pPr>
    </w:p>
    <w:p w14:paraId="68EF0040" w14:textId="77777777" w:rsidR="00DB2F3A" w:rsidRDefault="00DB2F3A" w:rsidP="00DB2F3A">
      <w:pPr>
        <w:pStyle w:val="Brdtext21"/>
        <w:rPr>
          <w:b/>
        </w:rPr>
      </w:pPr>
      <w:r>
        <w:rPr>
          <w:b/>
        </w:rPr>
        <w:t>Hur man överklagar</w:t>
      </w:r>
    </w:p>
    <w:p w14:paraId="33E99774" w14:textId="77777777" w:rsidR="00DB2F3A" w:rsidRDefault="00DB2F3A" w:rsidP="00DB2F3A">
      <w:pPr>
        <w:pStyle w:val="Brdtext21"/>
      </w:pPr>
      <w:r>
        <w:t>Detta beslut kan överklagas hos Förvaltningsrätten (se bilaga 2).</w:t>
      </w:r>
    </w:p>
    <w:p w14:paraId="23640ED1" w14:textId="77777777" w:rsidR="00DB2F3A" w:rsidRDefault="00DB2F3A" w:rsidP="00DB2F3A">
      <w:pPr>
        <w:pStyle w:val="IngetavstndLST"/>
        <w:jc w:val="both"/>
      </w:pPr>
    </w:p>
    <w:p w14:paraId="50991AF4" w14:textId="77777777" w:rsidR="00DB2F3A" w:rsidRDefault="00DB2F3A" w:rsidP="00DB2F3A">
      <w:pPr>
        <w:tabs>
          <w:tab w:val="left" w:pos="3402"/>
          <w:tab w:val="left" w:pos="5670"/>
        </w:tabs>
        <w:rPr>
          <w:b/>
        </w:rPr>
      </w:pPr>
      <w:r>
        <w:rPr>
          <w:b/>
        </w:rPr>
        <w:t>De som deltagit i beslutet</w:t>
      </w:r>
    </w:p>
    <w:p w14:paraId="1CABD0DE" w14:textId="77777777" w:rsidR="00DB2F3A" w:rsidRDefault="00DB2F3A" w:rsidP="00DB2F3A">
      <w:pPr>
        <w:tabs>
          <w:tab w:val="left" w:pos="3402"/>
        </w:tabs>
      </w:pPr>
      <w:r>
        <w:t xml:space="preserve">I detta ärende har chefen för enhet namn namn beslutat efter föredragning av handläggare </w:t>
      </w:r>
      <w:r w:rsidRPr="008619C7">
        <w:rPr>
          <w:highlight w:val="yellow"/>
        </w:rPr>
        <w:t>XX YY</w:t>
      </w:r>
      <w:r>
        <w:t xml:space="preserve">. I handläggningen har även Länsstyrelsens </w:t>
      </w:r>
      <w:r>
        <w:rPr>
          <w:highlight w:val="yellow"/>
        </w:rPr>
        <w:t>xy-</w:t>
      </w:r>
      <w:r w:rsidRPr="008619C7">
        <w:rPr>
          <w:highlight w:val="yellow"/>
        </w:rPr>
        <w:t>enhet, XX</w:t>
      </w:r>
      <w:r>
        <w:t xml:space="preserve"> deltagit.</w:t>
      </w:r>
    </w:p>
    <w:p w14:paraId="0678A068" w14:textId="77777777" w:rsidR="00DB2F3A" w:rsidRPr="006562B3" w:rsidRDefault="00DB2F3A" w:rsidP="00DB2F3A">
      <w:pPr>
        <w:pStyle w:val="Brdtext21"/>
        <w:tabs>
          <w:tab w:val="left" w:pos="3402"/>
        </w:tabs>
        <w:rPr>
          <w:b/>
        </w:rPr>
      </w:pPr>
    </w:p>
    <w:p w14:paraId="5CAE5B65" w14:textId="77777777" w:rsidR="00DB2F3A" w:rsidRDefault="00DB2F3A" w:rsidP="00DB2F3A">
      <w:pPr>
        <w:pStyle w:val="Brdtext21"/>
        <w:tabs>
          <w:tab w:val="left" w:pos="3402"/>
        </w:tabs>
        <w:rPr>
          <w:b/>
        </w:rPr>
      </w:pPr>
    </w:p>
    <w:p w14:paraId="27F51293" w14:textId="77777777" w:rsidR="00DB2F3A" w:rsidRDefault="00DB2F3A" w:rsidP="00DB2F3A">
      <w:pPr>
        <w:pStyle w:val="Brdtext21"/>
        <w:tabs>
          <w:tab w:val="left" w:pos="3402"/>
        </w:tabs>
        <w:rPr>
          <w:b/>
        </w:rPr>
      </w:pPr>
      <w:r w:rsidRPr="006562B3">
        <w:rPr>
          <w:b/>
        </w:rPr>
        <w:t>Bilaga:</w:t>
      </w:r>
    </w:p>
    <w:p w14:paraId="7FD665EB" w14:textId="77777777" w:rsidR="00DB2F3A" w:rsidRDefault="00DB2F3A" w:rsidP="00DB2F3A">
      <w:pPr>
        <w:pStyle w:val="Brdtext21"/>
        <w:numPr>
          <w:ilvl w:val="0"/>
          <w:numId w:val="2"/>
        </w:numPr>
        <w:tabs>
          <w:tab w:val="left" w:pos="3402"/>
        </w:tabs>
      </w:pPr>
      <w:r>
        <w:t xml:space="preserve">Karta </w:t>
      </w:r>
      <w:r w:rsidRPr="00D74065">
        <w:rPr>
          <w:highlight w:val="yellow"/>
        </w:rPr>
        <w:t>XX</w:t>
      </w:r>
    </w:p>
    <w:p w14:paraId="5F10E460" w14:textId="77777777" w:rsidR="00DB2F3A" w:rsidRDefault="00DB2F3A" w:rsidP="00DB2F3A">
      <w:pPr>
        <w:pStyle w:val="Brdtext21"/>
        <w:numPr>
          <w:ilvl w:val="0"/>
          <w:numId w:val="2"/>
        </w:numPr>
        <w:tabs>
          <w:tab w:val="left" w:pos="3402"/>
        </w:tabs>
      </w:pPr>
      <w:r>
        <w:t>Hur man överklagar till Förvaltningsrätten</w:t>
      </w:r>
    </w:p>
    <w:p w14:paraId="26162865" w14:textId="77777777" w:rsidR="00DB2F3A" w:rsidRDefault="00DB2F3A" w:rsidP="00DB2F3A">
      <w:pPr>
        <w:pStyle w:val="Brdtext21"/>
        <w:tabs>
          <w:tab w:val="left" w:pos="3402"/>
        </w:tabs>
        <w:ind w:left="720"/>
      </w:pPr>
    </w:p>
    <w:p w14:paraId="3B186549" w14:textId="77777777" w:rsidR="00DB2F3A" w:rsidRDefault="00DB2F3A" w:rsidP="00DB2F3A">
      <w:pPr>
        <w:pStyle w:val="Brdtext21"/>
        <w:tabs>
          <w:tab w:val="left" w:pos="3402"/>
        </w:tabs>
        <w:ind w:left="720"/>
      </w:pPr>
    </w:p>
    <w:p w14:paraId="31F27D02" w14:textId="77777777" w:rsidR="00DB2F3A" w:rsidRDefault="00DB2F3A" w:rsidP="00DB2F3A">
      <w:pPr>
        <w:pStyle w:val="Brdtext21"/>
        <w:rPr>
          <w:b/>
        </w:rPr>
      </w:pPr>
      <w:r>
        <w:rPr>
          <w:b/>
        </w:rPr>
        <w:t>Kopia till:</w:t>
      </w:r>
    </w:p>
    <w:p w14:paraId="3EB28740" w14:textId="77777777" w:rsidR="00DB2F3A" w:rsidRPr="008335C7" w:rsidRDefault="00DB2F3A" w:rsidP="00DB2F3A">
      <w:pPr>
        <w:tabs>
          <w:tab w:val="left" w:pos="5670"/>
          <w:tab w:val="left" w:pos="7939"/>
          <w:tab w:val="left" w:pos="9639"/>
        </w:tabs>
        <w:rPr>
          <w:szCs w:val="24"/>
        </w:rPr>
      </w:pPr>
      <w:r w:rsidRPr="008335C7">
        <w:rPr>
          <w:szCs w:val="24"/>
        </w:rPr>
        <w:t>Naturvårdsverket</w:t>
      </w:r>
      <w:r w:rsidR="00767F20">
        <w:rPr>
          <w:szCs w:val="24"/>
        </w:rPr>
        <w:t xml:space="preserve"> </w:t>
      </w:r>
      <w:r w:rsidRPr="006562B3">
        <w:rPr>
          <w:szCs w:val="24"/>
        </w:rPr>
        <w:tab/>
      </w:r>
    </w:p>
    <w:p w14:paraId="6353AD06" w14:textId="77777777" w:rsidR="00DD355C" w:rsidRDefault="00DB2F3A" w:rsidP="00DB2F3A">
      <w:pPr>
        <w:pStyle w:val="IngetavstndLST"/>
        <w:jc w:val="both"/>
      </w:pPr>
      <w:r w:rsidRPr="00A40A30">
        <w:rPr>
          <w:highlight w:val="yellow"/>
        </w:rPr>
        <w:t>XX kommun,</w:t>
      </w:r>
    </w:p>
    <w:p w14:paraId="61FB6DB3" w14:textId="37475E81" w:rsidR="00DB2F3A" w:rsidRPr="00E22CD3" w:rsidRDefault="00DD355C" w:rsidP="00DB2F3A">
      <w:pPr>
        <w:pStyle w:val="IngetavstndLST"/>
        <w:jc w:val="both"/>
      </w:pPr>
      <w:r w:rsidRPr="00DD355C">
        <w:rPr>
          <w:highlight w:val="yellow"/>
        </w:rPr>
        <w:t>Polisen</w:t>
      </w:r>
      <w:r w:rsidR="00DB2F3A">
        <w:t xml:space="preserve"> </w:t>
      </w:r>
    </w:p>
    <w:p w14:paraId="05AC68DD" w14:textId="77777777" w:rsidR="005F65AF" w:rsidRPr="00DB2F3A" w:rsidRDefault="005F65AF" w:rsidP="00DB2F3A"/>
    <w:sectPr w:rsidR="005F65AF" w:rsidRPr="00DB2F3A" w:rsidSect="00287F74">
      <w:headerReference w:type="default" r:id="rId11"/>
      <w:headerReference w:type="first" r:id="rId12"/>
      <w:footerReference w:type="first" r:id="rId13"/>
      <w:pgSz w:w="11907" w:h="16840"/>
      <w:pgMar w:top="567" w:right="567" w:bottom="567" w:left="2835" w:header="561" w:footer="5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97755" w14:textId="77777777" w:rsidR="00B454EE" w:rsidRDefault="00B454EE" w:rsidP="00DB2F3A">
      <w:r>
        <w:separator/>
      </w:r>
    </w:p>
  </w:endnote>
  <w:endnote w:type="continuationSeparator" w:id="0">
    <w:p w14:paraId="7586BA4F" w14:textId="77777777" w:rsidR="00B454EE" w:rsidRDefault="00B454EE" w:rsidP="00DB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42AFD" w14:textId="77777777" w:rsidR="00287F74" w:rsidRDefault="00D16973" w:rsidP="00287F74">
    <w:pPr>
      <w:pStyle w:val="Sidfot"/>
      <w:pBdr>
        <w:between w:val="single" w:sz="6" w:space="1" w:color="auto"/>
      </w:pBdr>
      <w:tabs>
        <w:tab w:val="clear" w:pos="4819"/>
        <w:tab w:val="left" w:pos="0"/>
        <w:tab w:val="left" w:pos="1701"/>
        <w:tab w:val="left" w:pos="3261"/>
        <w:tab w:val="left" w:pos="4678"/>
        <w:tab w:val="left" w:pos="6237"/>
        <w:tab w:val="left" w:pos="8789"/>
      </w:tabs>
      <w:ind w:left="-2268" w:right="-2"/>
      <w:rPr>
        <w:b/>
        <w:sz w:val="16"/>
      </w:rPr>
    </w:pPr>
  </w:p>
  <w:p w14:paraId="38D21C14" w14:textId="77777777" w:rsidR="00287F74" w:rsidRDefault="00D16973" w:rsidP="00287F74">
    <w:pPr>
      <w:pStyle w:val="Sidfot"/>
      <w:tabs>
        <w:tab w:val="clear" w:pos="4819"/>
        <w:tab w:val="left" w:pos="0"/>
        <w:tab w:val="left" w:pos="1701"/>
        <w:tab w:val="left" w:pos="3261"/>
        <w:tab w:val="left" w:pos="4678"/>
        <w:tab w:val="left" w:pos="6237"/>
        <w:tab w:val="left" w:pos="8789"/>
      </w:tabs>
      <w:ind w:left="-2268" w:right="-2"/>
      <w:rPr>
        <w:b/>
        <w:sz w:val="16"/>
      </w:rPr>
    </w:pPr>
  </w:p>
  <w:p w14:paraId="6F8C01E1" w14:textId="77777777" w:rsidR="00287F74" w:rsidRDefault="005673C0" w:rsidP="00287F74">
    <w:pPr>
      <w:pStyle w:val="Sidfot"/>
      <w:pBdr>
        <w:top w:val="single" w:sz="6" w:space="1" w:color="auto"/>
        <w:between w:val="single" w:sz="6" w:space="1" w:color="auto"/>
      </w:pBdr>
      <w:tabs>
        <w:tab w:val="clear" w:pos="4819"/>
        <w:tab w:val="left" w:pos="-709"/>
        <w:tab w:val="left" w:pos="851"/>
        <w:tab w:val="left" w:pos="2127"/>
        <w:tab w:val="left" w:pos="3686"/>
        <w:tab w:val="left" w:pos="6237"/>
        <w:tab w:val="left" w:pos="8789"/>
      </w:tabs>
      <w:ind w:left="-2268" w:right="-2"/>
      <w:rPr>
        <w:sz w:val="12"/>
      </w:rPr>
    </w:pPr>
    <w:r>
      <w:rPr>
        <w:caps/>
        <w:sz w:val="12"/>
      </w:rPr>
      <w:t>Postadress</w:t>
    </w:r>
    <w:r>
      <w:rPr>
        <w:sz w:val="12"/>
      </w:rPr>
      <w:tab/>
    </w:r>
    <w:r>
      <w:rPr>
        <w:caps/>
        <w:sz w:val="12"/>
      </w:rPr>
      <w:t>Besöksadress</w:t>
    </w:r>
    <w:r>
      <w:rPr>
        <w:sz w:val="12"/>
      </w:rPr>
      <w:tab/>
    </w:r>
    <w:r>
      <w:rPr>
        <w:caps/>
        <w:sz w:val="12"/>
      </w:rPr>
      <w:t>Telefon</w:t>
    </w:r>
    <w:r>
      <w:rPr>
        <w:sz w:val="12"/>
      </w:rPr>
      <w:tab/>
      <w:t>TELEFAX</w:t>
    </w:r>
    <w:r>
      <w:rPr>
        <w:sz w:val="12"/>
      </w:rPr>
      <w:tab/>
    </w:r>
    <w:r>
      <w:rPr>
        <w:caps/>
        <w:sz w:val="12"/>
      </w:rPr>
      <w:t>E-post</w:t>
    </w:r>
    <w:r>
      <w:rPr>
        <w:sz w:val="12"/>
      </w:rPr>
      <w:tab/>
      <w:t>INTERNET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5E313" w14:textId="77777777" w:rsidR="00B454EE" w:rsidRDefault="00B454EE" w:rsidP="00DB2F3A">
      <w:r>
        <w:separator/>
      </w:r>
    </w:p>
  </w:footnote>
  <w:footnote w:type="continuationSeparator" w:id="0">
    <w:p w14:paraId="5607B019" w14:textId="77777777" w:rsidR="00B454EE" w:rsidRDefault="00B454EE" w:rsidP="00DB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6" w:type="dxa"/>
      <w:tblInd w:w="-2268" w:type="dxa"/>
      <w:tblLayout w:type="fixed"/>
      <w:tblCellMar>
        <w:left w:w="28" w:type="dxa"/>
        <w:right w:w="28" w:type="dxa"/>
      </w:tblCellMar>
      <w:tblLook w:val="0000" w:firstRow="0" w:lastRow="0" w:firstColumn="0" w:lastColumn="0" w:noHBand="0" w:noVBand="0"/>
    </w:tblPr>
    <w:tblGrid>
      <w:gridCol w:w="2835"/>
      <w:gridCol w:w="2863"/>
      <w:gridCol w:w="2835"/>
      <w:gridCol w:w="1729"/>
      <w:gridCol w:w="724"/>
    </w:tblGrid>
    <w:tr w:rsidR="00150665" w14:paraId="42749F27" w14:textId="77777777" w:rsidTr="00DD514C">
      <w:trPr>
        <w:cantSplit/>
      </w:trPr>
      <w:tc>
        <w:tcPr>
          <w:tcW w:w="2835" w:type="dxa"/>
          <w:vMerge w:val="restart"/>
        </w:tcPr>
        <w:p w14:paraId="555F74CD" w14:textId="77777777" w:rsidR="00150665" w:rsidRDefault="00D16973" w:rsidP="002C08CF">
          <w:pPr>
            <w:pStyle w:val="Sidhuvud"/>
            <w:jc w:val="center"/>
          </w:pPr>
        </w:p>
      </w:tc>
      <w:tc>
        <w:tcPr>
          <w:tcW w:w="2863" w:type="dxa"/>
          <w:vMerge w:val="restart"/>
        </w:tcPr>
        <w:p w14:paraId="4A10AD9F" w14:textId="77777777" w:rsidR="00150665" w:rsidRDefault="00D16973" w:rsidP="002C08CF">
          <w:pPr>
            <w:pStyle w:val="Sidhuvud"/>
          </w:pPr>
        </w:p>
      </w:tc>
      <w:tc>
        <w:tcPr>
          <w:tcW w:w="4564" w:type="dxa"/>
          <w:gridSpan w:val="2"/>
        </w:tcPr>
        <w:p w14:paraId="7CE17BBC" w14:textId="77777777" w:rsidR="00E82BE4" w:rsidRPr="00AA568C" w:rsidRDefault="005673C0" w:rsidP="008909BB">
          <w:pPr>
            <w:pStyle w:val="Sidhuvud"/>
            <w:rPr>
              <w:caps/>
            </w:rPr>
          </w:pPr>
          <w:r>
            <w:rPr>
              <w:caps/>
            </w:rPr>
            <w:fldChar w:fldCharType="begin"/>
          </w:r>
          <w:r>
            <w:rPr>
              <w:caps/>
            </w:rPr>
            <w:instrText xml:space="preserve"> REF  DokTyp </w:instrText>
          </w:r>
          <w:r>
            <w:rPr>
              <w:caps/>
            </w:rPr>
            <w:fldChar w:fldCharType="separate"/>
          </w:r>
          <w:r>
            <w:rPr>
              <w:caps/>
            </w:rPr>
            <w:t>Beslut</w:t>
          </w:r>
        </w:p>
        <w:p w14:paraId="7154C65E" w14:textId="77777777" w:rsidR="00150665" w:rsidRPr="00150665" w:rsidRDefault="005673C0" w:rsidP="00150665">
          <w:pPr>
            <w:pStyle w:val="Sidhuvud"/>
          </w:pPr>
          <w:r w:rsidRPr="00AA568C">
            <w:t xml:space="preserve"> </w:t>
          </w:r>
          <w:r>
            <w:rPr>
              <w:caps/>
            </w:rPr>
            <w:fldChar w:fldCharType="end"/>
          </w:r>
        </w:p>
      </w:tc>
      <w:tc>
        <w:tcPr>
          <w:tcW w:w="724" w:type="dxa"/>
          <w:vMerge w:val="restart"/>
        </w:tcPr>
        <w:p w14:paraId="5C4AF3B7" w14:textId="4543B31F" w:rsidR="00150665" w:rsidRDefault="005673C0" w:rsidP="002C08CF">
          <w:pPr>
            <w:pStyle w:val="Sidhuvud"/>
          </w:pPr>
          <w:r>
            <w:fldChar w:fldCharType="begin"/>
          </w:r>
          <w:r>
            <w:instrText>PAGE</w:instrText>
          </w:r>
          <w:r>
            <w:fldChar w:fldCharType="separate"/>
          </w:r>
          <w:r w:rsidR="00D16973">
            <w:rPr>
              <w:noProof/>
            </w:rPr>
            <w:t>2</w:t>
          </w:r>
          <w:r>
            <w:fldChar w:fldCharType="end"/>
          </w:r>
          <w:r>
            <w:t xml:space="preserve"> (</w:t>
          </w:r>
          <w:r>
            <w:fldChar w:fldCharType="begin"/>
          </w:r>
          <w:r>
            <w:instrText xml:space="preserve">NUMPAGES </w:instrText>
          </w:r>
          <w:r>
            <w:fldChar w:fldCharType="separate"/>
          </w:r>
          <w:r w:rsidR="00D16973">
            <w:rPr>
              <w:noProof/>
            </w:rPr>
            <w:t>3</w:t>
          </w:r>
          <w:r>
            <w:fldChar w:fldCharType="end"/>
          </w:r>
          <w:r>
            <w:t>)</w:t>
          </w:r>
        </w:p>
      </w:tc>
    </w:tr>
    <w:tr w:rsidR="00150665" w14:paraId="3902D6EF" w14:textId="77777777" w:rsidTr="002C08CF">
      <w:trPr>
        <w:cantSplit/>
        <w:trHeight w:val="724"/>
      </w:trPr>
      <w:tc>
        <w:tcPr>
          <w:tcW w:w="2835" w:type="dxa"/>
          <w:vMerge/>
        </w:tcPr>
        <w:p w14:paraId="0F0A75AF" w14:textId="77777777" w:rsidR="00150665" w:rsidRDefault="00D16973" w:rsidP="002C08CF">
          <w:pPr>
            <w:pStyle w:val="Sidhuvud"/>
            <w:jc w:val="center"/>
            <w:rPr>
              <w:b/>
              <w:sz w:val="20"/>
            </w:rPr>
          </w:pPr>
        </w:p>
      </w:tc>
      <w:tc>
        <w:tcPr>
          <w:tcW w:w="2863" w:type="dxa"/>
          <w:vMerge/>
        </w:tcPr>
        <w:p w14:paraId="1F517E3D" w14:textId="77777777" w:rsidR="00150665" w:rsidRDefault="00D16973" w:rsidP="002C08CF">
          <w:pPr>
            <w:pStyle w:val="Sidhuvud"/>
          </w:pPr>
        </w:p>
      </w:tc>
      <w:tc>
        <w:tcPr>
          <w:tcW w:w="2835" w:type="dxa"/>
        </w:tcPr>
        <w:p w14:paraId="14649E77" w14:textId="77777777" w:rsidR="00150665" w:rsidRPr="00F95786" w:rsidRDefault="005673C0" w:rsidP="002C08CF">
          <w:pPr>
            <w:pStyle w:val="Sidhuvud"/>
            <w:rPr>
              <w:sz w:val="16"/>
              <w:szCs w:val="16"/>
              <w:lang w:val="en-US"/>
            </w:rPr>
          </w:pPr>
          <w:r>
            <w:rPr>
              <w:sz w:val="16"/>
              <w:szCs w:val="16"/>
              <w:lang w:val="en-US"/>
            </w:rPr>
            <w:t>Datum</w:t>
          </w:r>
        </w:p>
        <w:p w14:paraId="731FE676" w14:textId="77777777" w:rsidR="00E82BE4" w:rsidRPr="00AA568C" w:rsidRDefault="005673C0" w:rsidP="00150665">
          <w:pPr>
            <w:pStyle w:val="Sidhuvud"/>
          </w:pPr>
          <w:r>
            <w:fldChar w:fldCharType="begin"/>
          </w:r>
          <w:r>
            <w:instrText xml:space="preserve"> REF  Datum </w:instrText>
          </w:r>
          <w:r>
            <w:fldChar w:fldCharType="separate"/>
          </w:r>
          <w:r w:rsidR="00DB2F3A">
            <w:t>år-mm</w:t>
          </w:r>
          <w:r>
            <w:t>-</w:t>
          </w:r>
          <w:r w:rsidR="00DB2F3A">
            <w:t>dd</w:t>
          </w:r>
        </w:p>
        <w:p w14:paraId="29D935A7" w14:textId="77777777" w:rsidR="00150665" w:rsidRDefault="005673C0" w:rsidP="00150665">
          <w:pPr>
            <w:pStyle w:val="Sidhuvud"/>
            <w:rPr>
              <w:caps/>
            </w:rPr>
          </w:pPr>
          <w:r w:rsidRPr="00AA568C">
            <w:rPr>
              <w:caps/>
            </w:rPr>
            <w:t xml:space="preserve"> </w:t>
          </w:r>
          <w:r>
            <w:fldChar w:fldCharType="end"/>
          </w:r>
        </w:p>
      </w:tc>
      <w:tc>
        <w:tcPr>
          <w:tcW w:w="1729" w:type="dxa"/>
        </w:tcPr>
        <w:p w14:paraId="0CEC1A05" w14:textId="77777777" w:rsidR="00150665" w:rsidRPr="00F95786" w:rsidRDefault="005673C0" w:rsidP="002C08CF">
          <w:pPr>
            <w:pStyle w:val="Sidhuvud"/>
            <w:rPr>
              <w:sz w:val="16"/>
              <w:szCs w:val="16"/>
              <w:lang w:val="en-US"/>
            </w:rPr>
          </w:pPr>
          <w:r>
            <w:rPr>
              <w:sz w:val="16"/>
              <w:szCs w:val="16"/>
              <w:lang w:val="en-US"/>
            </w:rPr>
            <w:t>Diarienummer</w:t>
          </w:r>
        </w:p>
        <w:p w14:paraId="58AED6D4" w14:textId="77777777" w:rsidR="00E82BE4" w:rsidRPr="00AA568C" w:rsidRDefault="005673C0" w:rsidP="00150665">
          <w:pPr>
            <w:pStyle w:val="Sidhuvud"/>
          </w:pPr>
          <w:r>
            <w:fldChar w:fldCharType="begin"/>
          </w:r>
          <w:r>
            <w:instrText xml:space="preserve"> REF  Diarie </w:instrText>
          </w:r>
          <w:r>
            <w:fldChar w:fldCharType="separate"/>
          </w:r>
          <w:r>
            <w:t>523-</w:t>
          </w:r>
          <w:r w:rsidR="00DB2F3A">
            <w:t>xxx-år</w:t>
          </w:r>
        </w:p>
        <w:p w14:paraId="467478E1" w14:textId="77777777" w:rsidR="00150665" w:rsidRPr="00F95786" w:rsidRDefault="005673C0" w:rsidP="00150665">
          <w:pPr>
            <w:pStyle w:val="Sidhuvud"/>
            <w:rPr>
              <w:lang w:val="en-US"/>
            </w:rPr>
          </w:pPr>
          <w:r w:rsidRPr="00AA568C">
            <w:t xml:space="preserve"> </w:t>
          </w:r>
          <w:r>
            <w:fldChar w:fldCharType="end"/>
          </w:r>
        </w:p>
      </w:tc>
      <w:tc>
        <w:tcPr>
          <w:tcW w:w="724" w:type="dxa"/>
          <w:vMerge/>
        </w:tcPr>
        <w:p w14:paraId="7D4E1EDC" w14:textId="77777777" w:rsidR="00150665" w:rsidRDefault="00D16973" w:rsidP="002C08CF">
          <w:pPr>
            <w:pStyle w:val="Sidhuvud"/>
          </w:pPr>
        </w:p>
      </w:tc>
    </w:tr>
  </w:tbl>
  <w:p w14:paraId="3CFC4FCA" w14:textId="77777777" w:rsidR="00150665" w:rsidRPr="00287F74" w:rsidRDefault="00D16973" w:rsidP="00150665">
    <w:pPr>
      <w:tabs>
        <w:tab w:val="left" w:pos="340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6" w:type="dxa"/>
      <w:tblInd w:w="-2268" w:type="dxa"/>
      <w:tblLayout w:type="fixed"/>
      <w:tblCellMar>
        <w:left w:w="28" w:type="dxa"/>
        <w:right w:w="28" w:type="dxa"/>
      </w:tblCellMar>
      <w:tblLook w:val="0000" w:firstRow="0" w:lastRow="0" w:firstColumn="0" w:lastColumn="0" w:noHBand="0" w:noVBand="0"/>
    </w:tblPr>
    <w:tblGrid>
      <w:gridCol w:w="2835"/>
      <w:gridCol w:w="2722"/>
      <w:gridCol w:w="141"/>
      <w:gridCol w:w="2835"/>
      <w:gridCol w:w="1729"/>
      <w:gridCol w:w="724"/>
    </w:tblGrid>
    <w:tr w:rsidR="00150665" w:rsidRPr="00AA568C" w14:paraId="759CF6E1" w14:textId="77777777" w:rsidTr="00DD514C">
      <w:trPr>
        <w:cantSplit/>
      </w:trPr>
      <w:tc>
        <w:tcPr>
          <w:tcW w:w="2835" w:type="dxa"/>
          <w:vMerge w:val="restart"/>
        </w:tcPr>
        <w:p w14:paraId="76CCE8A6" w14:textId="77777777" w:rsidR="00150665" w:rsidRPr="00AA568C" w:rsidRDefault="00D16973" w:rsidP="008909BB">
          <w:pPr>
            <w:pStyle w:val="Sidhuvud"/>
            <w:jc w:val="center"/>
          </w:pPr>
        </w:p>
      </w:tc>
      <w:tc>
        <w:tcPr>
          <w:tcW w:w="2863" w:type="dxa"/>
          <w:gridSpan w:val="2"/>
          <w:vMerge w:val="restart"/>
        </w:tcPr>
        <w:p w14:paraId="2E06139A" w14:textId="77777777" w:rsidR="00150665" w:rsidRPr="00AA568C" w:rsidRDefault="00D16973" w:rsidP="008909BB">
          <w:pPr>
            <w:pStyle w:val="Sidhuvud"/>
          </w:pPr>
        </w:p>
      </w:tc>
      <w:tc>
        <w:tcPr>
          <w:tcW w:w="4564" w:type="dxa"/>
          <w:gridSpan w:val="2"/>
        </w:tcPr>
        <w:p w14:paraId="3A2AD8FB" w14:textId="77777777" w:rsidR="00150665" w:rsidRPr="00AA568C" w:rsidRDefault="005673C0" w:rsidP="008909BB">
          <w:pPr>
            <w:pStyle w:val="Sidhuvud"/>
            <w:rPr>
              <w:caps/>
            </w:rPr>
          </w:pPr>
          <w:bookmarkStart w:id="4" w:name="DokTyp"/>
          <w:r>
            <w:rPr>
              <w:caps/>
            </w:rPr>
            <w:t>Beslut</w:t>
          </w:r>
        </w:p>
        <w:p w14:paraId="18D2ED74" w14:textId="77777777" w:rsidR="00150665" w:rsidRPr="00AA568C" w:rsidRDefault="005673C0" w:rsidP="008909BB">
          <w:pPr>
            <w:pStyle w:val="Sidhuvud"/>
          </w:pPr>
          <w:r w:rsidRPr="00AA568C">
            <w:t xml:space="preserve"> </w:t>
          </w:r>
          <w:bookmarkEnd w:id="4"/>
        </w:p>
      </w:tc>
      <w:tc>
        <w:tcPr>
          <w:tcW w:w="724" w:type="dxa"/>
          <w:vMerge w:val="restart"/>
        </w:tcPr>
        <w:p w14:paraId="6EEC2D91" w14:textId="7852724A" w:rsidR="00150665" w:rsidRPr="00AA568C" w:rsidRDefault="005673C0" w:rsidP="008909BB">
          <w:pPr>
            <w:pStyle w:val="Sidhuvud"/>
          </w:pPr>
          <w:r w:rsidRPr="00AA568C">
            <w:fldChar w:fldCharType="begin"/>
          </w:r>
          <w:r w:rsidRPr="00AA568C">
            <w:instrText>PAGE</w:instrText>
          </w:r>
          <w:r w:rsidRPr="00AA568C">
            <w:fldChar w:fldCharType="separate"/>
          </w:r>
          <w:r w:rsidR="00D16973">
            <w:rPr>
              <w:noProof/>
            </w:rPr>
            <w:t>1</w:t>
          </w:r>
          <w:r w:rsidRPr="00AA568C">
            <w:fldChar w:fldCharType="end"/>
          </w:r>
          <w:r w:rsidRPr="00AA568C">
            <w:t xml:space="preserve"> (</w:t>
          </w:r>
          <w:r w:rsidRPr="00AA568C">
            <w:fldChar w:fldCharType="begin"/>
          </w:r>
          <w:r w:rsidRPr="00AA568C">
            <w:instrText xml:space="preserve">NUMPAGES </w:instrText>
          </w:r>
          <w:r w:rsidRPr="00AA568C">
            <w:fldChar w:fldCharType="separate"/>
          </w:r>
          <w:r w:rsidR="00D16973">
            <w:rPr>
              <w:noProof/>
            </w:rPr>
            <w:t>3</w:t>
          </w:r>
          <w:r w:rsidRPr="00AA568C">
            <w:fldChar w:fldCharType="end"/>
          </w:r>
          <w:r w:rsidRPr="00AA568C">
            <w:t>)</w:t>
          </w:r>
        </w:p>
      </w:tc>
    </w:tr>
    <w:tr w:rsidR="00150665" w:rsidRPr="00AA568C" w14:paraId="2E445D8B" w14:textId="77777777" w:rsidTr="008909BB">
      <w:trPr>
        <w:cantSplit/>
        <w:trHeight w:val="724"/>
      </w:trPr>
      <w:tc>
        <w:tcPr>
          <w:tcW w:w="2835" w:type="dxa"/>
          <w:vMerge/>
        </w:tcPr>
        <w:p w14:paraId="21B80276" w14:textId="77777777" w:rsidR="00150665" w:rsidRPr="00AA568C" w:rsidRDefault="00D16973" w:rsidP="008909BB">
          <w:pPr>
            <w:pStyle w:val="Sidhuvud"/>
            <w:jc w:val="center"/>
            <w:rPr>
              <w:b/>
              <w:sz w:val="20"/>
            </w:rPr>
          </w:pPr>
        </w:p>
      </w:tc>
      <w:tc>
        <w:tcPr>
          <w:tcW w:w="2863" w:type="dxa"/>
          <w:gridSpan w:val="2"/>
          <w:vMerge/>
        </w:tcPr>
        <w:p w14:paraId="2B4331ED" w14:textId="77777777" w:rsidR="00150665" w:rsidRPr="00AA568C" w:rsidRDefault="00D16973" w:rsidP="008909BB">
          <w:pPr>
            <w:pStyle w:val="Sidhuvud"/>
          </w:pPr>
        </w:p>
      </w:tc>
      <w:tc>
        <w:tcPr>
          <w:tcW w:w="2835" w:type="dxa"/>
        </w:tcPr>
        <w:p w14:paraId="4BDF0865" w14:textId="77777777" w:rsidR="00150665" w:rsidRPr="00AA568C" w:rsidRDefault="005673C0" w:rsidP="00150665">
          <w:pPr>
            <w:pStyle w:val="Sidhuvud"/>
            <w:rPr>
              <w:sz w:val="16"/>
              <w:szCs w:val="16"/>
            </w:rPr>
          </w:pPr>
          <w:r>
            <w:rPr>
              <w:sz w:val="16"/>
              <w:szCs w:val="16"/>
            </w:rPr>
            <w:t>Datum</w:t>
          </w:r>
        </w:p>
        <w:p w14:paraId="4651E67A" w14:textId="77777777" w:rsidR="00150665" w:rsidRPr="00AA568C" w:rsidRDefault="00DB2F3A" w:rsidP="00150665">
          <w:pPr>
            <w:pStyle w:val="Sidhuvud"/>
          </w:pPr>
          <w:bookmarkStart w:id="5" w:name="Datum"/>
          <w:r>
            <w:t>år</w:t>
          </w:r>
          <w:r w:rsidR="005673C0">
            <w:t>-</w:t>
          </w:r>
          <w:r>
            <w:t>mm</w:t>
          </w:r>
          <w:r w:rsidR="005673C0">
            <w:t>-</w:t>
          </w:r>
          <w:r>
            <w:t>dd</w:t>
          </w:r>
        </w:p>
        <w:p w14:paraId="4F03C3B7" w14:textId="77777777" w:rsidR="00150665" w:rsidRPr="00AA568C" w:rsidRDefault="005673C0" w:rsidP="008909BB">
          <w:pPr>
            <w:pStyle w:val="Sidhuvud"/>
            <w:rPr>
              <w:caps/>
            </w:rPr>
          </w:pPr>
          <w:r w:rsidRPr="00AA568C">
            <w:rPr>
              <w:caps/>
            </w:rPr>
            <w:t xml:space="preserve"> </w:t>
          </w:r>
          <w:bookmarkEnd w:id="5"/>
        </w:p>
      </w:tc>
      <w:tc>
        <w:tcPr>
          <w:tcW w:w="1729" w:type="dxa"/>
        </w:tcPr>
        <w:p w14:paraId="5E7824D0" w14:textId="77777777" w:rsidR="00150665" w:rsidRPr="00AA568C" w:rsidRDefault="005673C0" w:rsidP="00150665">
          <w:pPr>
            <w:pStyle w:val="Sidhuvud"/>
            <w:rPr>
              <w:sz w:val="16"/>
              <w:szCs w:val="16"/>
            </w:rPr>
          </w:pPr>
          <w:r>
            <w:rPr>
              <w:sz w:val="16"/>
              <w:szCs w:val="16"/>
            </w:rPr>
            <w:t>Diarienummer</w:t>
          </w:r>
        </w:p>
        <w:p w14:paraId="42291787" w14:textId="77777777" w:rsidR="00150665" w:rsidRPr="00AA568C" w:rsidRDefault="005673C0" w:rsidP="00150665">
          <w:pPr>
            <w:pStyle w:val="Sidhuvud"/>
          </w:pPr>
          <w:bookmarkStart w:id="6" w:name="Diarie"/>
          <w:r>
            <w:t>523-</w:t>
          </w:r>
          <w:r w:rsidR="00DB2F3A">
            <w:t>xxx</w:t>
          </w:r>
          <w:r>
            <w:t>-</w:t>
          </w:r>
          <w:r w:rsidR="00DB2F3A">
            <w:t>xx</w:t>
          </w:r>
        </w:p>
        <w:p w14:paraId="3D787953" w14:textId="77777777" w:rsidR="00150665" w:rsidRPr="00AA568C" w:rsidRDefault="005673C0" w:rsidP="008909BB">
          <w:pPr>
            <w:pStyle w:val="Sidhuvud"/>
          </w:pPr>
          <w:r w:rsidRPr="00AA568C">
            <w:t xml:space="preserve"> </w:t>
          </w:r>
          <w:bookmarkEnd w:id="6"/>
        </w:p>
      </w:tc>
      <w:tc>
        <w:tcPr>
          <w:tcW w:w="724" w:type="dxa"/>
          <w:vMerge/>
        </w:tcPr>
        <w:p w14:paraId="51D3327A" w14:textId="77777777" w:rsidR="00150665" w:rsidRPr="00AA568C" w:rsidRDefault="00D16973" w:rsidP="008909BB">
          <w:pPr>
            <w:pStyle w:val="Sidhuvud"/>
          </w:pPr>
        </w:p>
      </w:tc>
    </w:tr>
    <w:tr w:rsidR="00287F74" w:rsidRPr="00AA568C" w14:paraId="767AEC15" w14:textId="77777777" w:rsidTr="008909BB">
      <w:trPr>
        <w:cantSplit/>
      </w:trPr>
      <w:tc>
        <w:tcPr>
          <w:tcW w:w="2835" w:type="dxa"/>
        </w:tcPr>
        <w:p w14:paraId="0FC57491" w14:textId="77777777" w:rsidR="00287F74" w:rsidRPr="00AA568C" w:rsidRDefault="00D16973" w:rsidP="008909BB">
          <w:pPr>
            <w:pStyle w:val="Sidhuvud"/>
          </w:pPr>
        </w:p>
      </w:tc>
      <w:tc>
        <w:tcPr>
          <w:tcW w:w="2722" w:type="dxa"/>
        </w:tcPr>
        <w:p w14:paraId="251594B3" w14:textId="77777777" w:rsidR="00287F74" w:rsidRPr="00AA568C" w:rsidRDefault="00D16973" w:rsidP="008909BB">
          <w:pPr>
            <w:pStyle w:val="Sidhuvud"/>
          </w:pPr>
        </w:p>
      </w:tc>
      <w:tc>
        <w:tcPr>
          <w:tcW w:w="5429" w:type="dxa"/>
          <w:gridSpan w:val="4"/>
        </w:tcPr>
        <w:tbl>
          <w:tblPr>
            <w:tblW w:w="5358" w:type="dxa"/>
            <w:tblInd w:w="113" w:type="dxa"/>
            <w:tblLayout w:type="fixed"/>
            <w:tblCellMar>
              <w:left w:w="28" w:type="dxa"/>
              <w:right w:w="68" w:type="dxa"/>
            </w:tblCellMar>
            <w:tblLook w:val="01E0" w:firstRow="1" w:lastRow="1" w:firstColumn="1" w:lastColumn="1" w:noHBand="0" w:noVBand="0"/>
          </w:tblPr>
          <w:tblGrid>
            <w:gridCol w:w="5358"/>
          </w:tblGrid>
          <w:tr w:rsidR="00287F74" w:rsidRPr="00AA568C" w14:paraId="541E28C7" w14:textId="77777777" w:rsidTr="00287F74">
            <w:tc>
              <w:tcPr>
                <w:tcW w:w="5358" w:type="dxa"/>
                <w:shd w:val="clear" w:color="auto" w:fill="auto"/>
              </w:tcPr>
              <w:p w14:paraId="47F66F71" w14:textId="77777777" w:rsidR="00287F74" w:rsidRPr="00AA568C" w:rsidRDefault="00DB2F3A" w:rsidP="008909BB">
                <w:pPr>
                  <w:pStyle w:val="Sidhuvud"/>
                </w:pPr>
                <w:r>
                  <w:t>sökande</w:t>
                </w:r>
              </w:p>
            </w:tc>
          </w:tr>
        </w:tbl>
        <w:p w14:paraId="240F3542" w14:textId="77777777" w:rsidR="00287F74" w:rsidRPr="00AA568C" w:rsidRDefault="00D16973" w:rsidP="008909BB">
          <w:pPr>
            <w:pStyle w:val="Sidhuvud"/>
          </w:pPr>
        </w:p>
      </w:tc>
    </w:tr>
  </w:tbl>
  <w:p w14:paraId="64BFC9ED" w14:textId="77777777" w:rsidR="00287F74" w:rsidRPr="00AA568C" w:rsidRDefault="00D16973" w:rsidP="00287F74">
    <w:pP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4D8"/>
    <w:multiLevelType w:val="hybridMultilevel"/>
    <w:tmpl w:val="AF6C5A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B0D32EE"/>
    <w:multiLevelType w:val="hybridMultilevel"/>
    <w:tmpl w:val="063201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7F2909"/>
    <w:multiLevelType w:val="hybridMultilevel"/>
    <w:tmpl w:val="09B6C5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BE5475C"/>
    <w:multiLevelType w:val="hybridMultilevel"/>
    <w:tmpl w:val="A7BA1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hideGrammaticalError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94"/>
    <w:rsid w:val="0006560B"/>
    <w:rsid w:val="000F2A02"/>
    <w:rsid w:val="00110E0C"/>
    <w:rsid w:val="001B5956"/>
    <w:rsid w:val="00203F67"/>
    <w:rsid w:val="002D1A94"/>
    <w:rsid w:val="003D1455"/>
    <w:rsid w:val="004B634A"/>
    <w:rsid w:val="00511CBA"/>
    <w:rsid w:val="005673C0"/>
    <w:rsid w:val="005F65AF"/>
    <w:rsid w:val="00767F20"/>
    <w:rsid w:val="007F6085"/>
    <w:rsid w:val="00937A24"/>
    <w:rsid w:val="00A2215E"/>
    <w:rsid w:val="00B454EE"/>
    <w:rsid w:val="00B84C75"/>
    <w:rsid w:val="00BD1307"/>
    <w:rsid w:val="00BE52B7"/>
    <w:rsid w:val="00CC3CD9"/>
    <w:rsid w:val="00CF0B0E"/>
    <w:rsid w:val="00D16973"/>
    <w:rsid w:val="00DB2F3A"/>
    <w:rsid w:val="00DD355C"/>
    <w:rsid w:val="00EF6E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1D493C5"/>
  <w15:chartTrackingRefBased/>
  <w15:docId w15:val="{3E0562A0-EA0A-4550-A2B3-C7773136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F3A"/>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autoRedefine/>
    <w:qFormat/>
    <w:rsid w:val="00BE52B7"/>
    <w:pPr>
      <w:keepNext/>
      <w:spacing w:before="240" w:after="60"/>
      <w:outlineLvl w:val="0"/>
    </w:pPr>
    <w:rPr>
      <w:rFonts w:cs="Arial"/>
      <w:b/>
      <w:bCs/>
      <w:kern w:val="32"/>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etavstndLST">
    <w:name w:val="Inget avstånd LST"/>
    <w:basedOn w:val="Normal"/>
    <w:qFormat/>
    <w:rsid w:val="00DB2F3A"/>
    <w:rPr>
      <w:rFonts w:eastAsia="Calibri"/>
      <w:szCs w:val="24"/>
    </w:rPr>
  </w:style>
  <w:style w:type="paragraph" w:styleId="Sidfot">
    <w:name w:val="footer"/>
    <w:basedOn w:val="Normal"/>
    <w:link w:val="SidfotChar"/>
    <w:rsid w:val="00DB2F3A"/>
    <w:pPr>
      <w:tabs>
        <w:tab w:val="center" w:pos="4819"/>
        <w:tab w:val="right" w:pos="9071"/>
      </w:tabs>
    </w:pPr>
  </w:style>
  <w:style w:type="character" w:customStyle="1" w:styleId="SidfotChar">
    <w:name w:val="Sidfot Char"/>
    <w:basedOn w:val="Standardstycketeckensnitt"/>
    <w:link w:val="Sidfot"/>
    <w:rsid w:val="00DB2F3A"/>
    <w:rPr>
      <w:rFonts w:ascii="Times New Roman" w:eastAsia="Times New Roman" w:hAnsi="Times New Roman" w:cs="Times New Roman"/>
      <w:sz w:val="24"/>
      <w:szCs w:val="20"/>
      <w:lang w:eastAsia="sv-SE"/>
    </w:rPr>
  </w:style>
  <w:style w:type="paragraph" w:styleId="Sidhuvud">
    <w:name w:val="header"/>
    <w:basedOn w:val="Normal"/>
    <w:link w:val="SidhuvudChar"/>
    <w:semiHidden/>
    <w:rsid w:val="00DB2F3A"/>
    <w:pPr>
      <w:tabs>
        <w:tab w:val="center" w:pos="4819"/>
        <w:tab w:val="right" w:pos="9071"/>
      </w:tabs>
    </w:pPr>
  </w:style>
  <w:style w:type="character" w:customStyle="1" w:styleId="SidhuvudChar">
    <w:name w:val="Sidhuvud Char"/>
    <w:basedOn w:val="Standardstycketeckensnitt"/>
    <w:link w:val="Sidhuvud"/>
    <w:semiHidden/>
    <w:rsid w:val="00DB2F3A"/>
    <w:rPr>
      <w:rFonts w:ascii="Times New Roman" w:eastAsia="Times New Roman" w:hAnsi="Times New Roman" w:cs="Times New Roman"/>
      <w:sz w:val="24"/>
      <w:szCs w:val="20"/>
      <w:lang w:eastAsia="sv-SE"/>
    </w:rPr>
  </w:style>
  <w:style w:type="character" w:styleId="Hyperlnk">
    <w:name w:val="Hyperlink"/>
    <w:semiHidden/>
    <w:rsid w:val="00DB2F3A"/>
    <w:rPr>
      <w:color w:val="0000FF"/>
      <w:u w:val="single"/>
    </w:rPr>
  </w:style>
  <w:style w:type="paragraph" w:customStyle="1" w:styleId="Brdtext21">
    <w:name w:val="Brödtext 21"/>
    <w:basedOn w:val="Normal"/>
    <w:rsid w:val="00DB2F3A"/>
  </w:style>
  <w:style w:type="character" w:customStyle="1" w:styleId="Rubrik1Char">
    <w:name w:val="Rubrik 1 Char"/>
    <w:basedOn w:val="Standardstycketeckensnitt"/>
    <w:link w:val="Rubrik1"/>
    <w:rsid w:val="00BE52B7"/>
    <w:rPr>
      <w:rFonts w:ascii="Times New Roman" w:eastAsia="Times New Roman" w:hAnsi="Times New Roman" w:cs="Arial"/>
      <w:b/>
      <w:bCs/>
      <w:kern w:val="32"/>
      <w:sz w:val="28"/>
      <w:szCs w:val="28"/>
      <w:lang w:eastAsia="sv-SE"/>
    </w:rPr>
  </w:style>
  <w:style w:type="paragraph" w:styleId="Liststycke">
    <w:name w:val="List Paragraph"/>
    <w:basedOn w:val="Normal"/>
    <w:uiPriority w:val="34"/>
    <w:qFormat/>
    <w:rsid w:val="00A22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90650">
      <w:bodyDiv w:val="1"/>
      <w:marLeft w:val="0"/>
      <w:marRight w:val="0"/>
      <w:marTop w:val="0"/>
      <w:marBottom w:val="0"/>
      <w:divBdr>
        <w:top w:val="none" w:sz="0" w:space="0" w:color="auto"/>
        <w:left w:val="none" w:sz="0" w:space="0" w:color="auto"/>
        <w:bottom w:val="none" w:sz="0" w:space="0" w:color="auto"/>
        <w:right w:val="none" w:sz="0" w:space="0" w:color="auto"/>
      </w:divBdr>
    </w:div>
    <w:div w:id="297271407">
      <w:bodyDiv w:val="1"/>
      <w:marLeft w:val="0"/>
      <w:marRight w:val="0"/>
      <w:marTop w:val="0"/>
      <w:marBottom w:val="0"/>
      <w:divBdr>
        <w:top w:val="none" w:sz="0" w:space="0" w:color="auto"/>
        <w:left w:val="none" w:sz="0" w:space="0" w:color="auto"/>
        <w:bottom w:val="none" w:sz="0" w:space="0" w:color="auto"/>
        <w:right w:val="none" w:sz="0" w:space="0" w:color="auto"/>
      </w:divBdr>
    </w:div>
    <w:div w:id="358363692">
      <w:bodyDiv w:val="1"/>
      <w:marLeft w:val="0"/>
      <w:marRight w:val="0"/>
      <w:marTop w:val="0"/>
      <w:marBottom w:val="0"/>
      <w:divBdr>
        <w:top w:val="none" w:sz="0" w:space="0" w:color="auto"/>
        <w:left w:val="none" w:sz="0" w:space="0" w:color="auto"/>
        <w:bottom w:val="none" w:sz="0" w:space="0" w:color="auto"/>
        <w:right w:val="none" w:sz="0" w:space="0" w:color="auto"/>
      </w:divBdr>
    </w:div>
    <w:div w:id="382170769">
      <w:bodyDiv w:val="1"/>
      <w:marLeft w:val="0"/>
      <w:marRight w:val="0"/>
      <w:marTop w:val="0"/>
      <w:marBottom w:val="0"/>
      <w:divBdr>
        <w:top w:val="none" w:sz="0" w:space="0" w:color="auto"/>
        <w:left w:val="none" w:sz="0" w:space="0" w:color="auto"/>
        <w:bottom w:val="none" w:sz="0" w:space="0" w:color="auto"/>
        <w:right w:val="none" w:sz="0" w:space="0" w:color="auto"/>
      </w:divBdr>
    </w:div>
    <w:div w:id="446194609">
      <w:bodyDiv w:val="1"/>
      <w:marLeft w:val="0"/>
      <w:marRight w:val="0"/>
      <w:marTop w:val="0"/>
      <w:marBottom w:val="0"/>
      <w:divBdr>
        <w:top w:val="none" w:sz="0" w:space="0" w:color="auto"/>
        <w:left w:val="none" w:sz="0" w:space="0" w:color="auto"/>
        <w:bottom w:val="none" w:sz="0" w:space="0" w:color="auto"/>
        <w:right w:val="none" w:sz="0" w:space="0" w:color="auto"/>
      </w:divBdr>
    </w:div>
    <w:div w:id="1032460592">
      <w:bodyDiv w:val="1"/>
      <w:marLeft w:val="0"/>
      <w:marRight w:val="0"/>
      <w:marTop w:val="0"/>
      <w:marBottom w:val="0"/>
      <w:divBdr>
        <w:top w:val="none" w:sz="0" w:space="0" w:color="auto"/>
        <w:left w:val="none" w:sz="0" w:space="0" w:color="auto"/>
        <w:bottom w:val="none" w:sz="0" w:space="0" w:color="auto"/>
        <w:right w:val="none" w:sz="0" w:space="0" w:color="auto"/>
      </w:divBdr>
    </w:div>
    <w:div w:id="1665744357">
      <w:bodyDiv w:val="1"/>
      <w:marLeft w:val="0"/>
      <w:marRight w:val="0"/>
      <w:marTop w:val="0"/>
      <w:marBottom w:val="0"/>
      <w:divBdr>
        <w:top w:val="none" w:sz="0" w:space="0" w:color="auto"/>
        <w:left w:val="none" w:sz="0" w:space="0" w:color="auto"/>
        <w:bottom w:val="none" w:sz="0" w:space="0" w:color="auto"/>
        <w:right w:val="none" w:sz="0" w:space="0" w:color="auto"/>
      </w:divBdr>
    </w:div>
    <w:div w:id="19040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mis.raa.se/cocoon/fornsok/search.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_x00f6_rfattare xmlns="c963f940-bb46-447c-a0f4-f67cc4db45ba" xsi:nil="true"/>
    <_x00c5_rtal xmlns="c963f940-bb46-447c-a0f4-f67cc4db45ba">2018</_x00c5_rtal>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F95BA68E00549B29695701481801A" ma:contentTypeVersion="7" ma:contentTypeDescription="Create a new document." ma:contentTypeScope="" ma:versionID="9c039fdc01da72853d0500a0ffde6f4a">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4b92db40221eb7615959d2b52e9d6f15"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515F7-13DC-4C0D-94BB-F27B011C7C6C}">
  <ds:schemaRefs>
    <ds:schemaRef ds:uri="http://schemas.microsoft.com/sharepoint/v3/contenttype/forms"/>
  </ds:schemaRefs>
</ds:datastoreItem>
</file>

<file path=customXml/itemProps2.xml><?xml version="1.0" encoding="utf-8"?>
<ds:datastoreItem xmlns:ds="http://schemas.openxmlformats.org/officeDocument/2006/customXml" ds:itemID="{E4E1B6FB-B2F6-4A64-8DD4-C0523A975D66}">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14B65871-5722-4B1A-A8C0-0BC4ADE5A4FF}"/>
</file>

<file path=docProps/app.xml><?xml version="1.0" encoding="utf-8"?>
<Properties xmlns="http://schemas.openxmlformats.org/officeDocument/2006/extended-properties" xmlns:vt="http://schemas.openxmlformats.org/officeDocument/2006/docPropsVTypes">
  <Template>268A79.dotm</Template>
  <TotalTime>0</TotalTime>
  <Pages>3</Pages>
  <Words>695</Words>
  <Characters>4080</Characters>
  <Application>Microsoft Office Word</Application>
  <DocSecurity>0</DocSecurity>
  <Lines>97</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Strand Josefine</dc:creator>
  <cp:keywords/>
  <dc:description/>
  <cp:lastModifiedBy>Carina Lif</cp:lastModifiedBy>
  <cp:revision>2</cp:revision>
  <dcterms:created xsi:type="dcterms:W3CDTF">2018-05-09T09:24:00Z</dcterms:created>
  <dcterms:modified xsi:type="dcterms:W3CDTF">2018-05-09T09:24:00Z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